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explicit about its coverage.</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scope-and-next-steps"/>
    <w:p>
      <w:pPr>
        <w:pStyle w:val="Heading2"/>
      </w:pPr>
      <w:r>
        <w:t xml:space="preserve">Scope and next steps</w:t>
      </w:r>
    </w:p>
    <w:p>
      <w:pPr>
        <w:pStyle w:val="FirstParagraph"/>
      </w:pPr>
      <w:r>
        <w:t xml:space="preserve">The feed is a data layer, not a forecast. It does not show forecast accuracy, and nothing here claims that the decomposition improves predictions of inflation. The simulated figures illustrate the construction; they are not results.</w:t>
      </w:r>
    </w:p>
    <w:p>
      <w:pPr>
        <w:pStyle w:val="BodyText"/>
      </w:pPr>
      <w:r>
        <w:t xml:space="preserve">Several limits are known. The reconstructed weights are an approximation based on prior-month prices, so small residuals are expected even with full coverage. The weights for 2006 to 2010 depend on name matching, with a small set of unmatched components still awaiting mapping. The feed covers the all-urban-consumers index only, so other price measures would need their own mappings.</w:t>
      </w:r>
    </w:p>
    <w:p>
      <w:pPr>
        <w:pStyle w:val="BodyText"/>
      </w:pPr>
      <w:r>
        <w:t xml:space="preserve">The next steps are a union of all weight vintages for fuller historical coverage, a decomposition of the residual into coverage and rounding parts, and linking the contributions to component-level forecasting models so that the bottom-up and top-down views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2026-10-08T16:28:47Z</dcterms:created>
  <dcterms:modified xsi:type="dcterms:W3CDTF">2026-10-08T16:28:47Z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