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are honest about their limits: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honest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limits-and-next-steps"/>
    <w:p>
      <w:pPr>
        <w:pStyle w:val="Heading2"/>
      </w:pPr>
      <w:r>
        <w:t xml:space="preserve">Limits and next steps</w:t>
      </w:r>
    </w:p>
    <w:p>
      <w:pPr>
        <w:pStyle w:val="FirstParagraph"/>
      </w:pPr>
      <w:r>
        <w:t xml:space="preserve">The post-2022 sample is short, so break tests have low power. A calendar of two full business cycles would be needed to call any change structural, and that is not available. Output and policy-rate series ended earlier than prices and labour costs in the vintage used, so some results are as of an earlier date and a few current-state figures came from outside the dataset and were used as context only. The margin proxy is an index gap, not firm-level profit. Real rates use realised inflation, not expectations, and yield spreads mix sovereign risk with monetary stance. The next step is a refresh to a common end date, a sensitivity band on the neutral rate, and a longer window.</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2026-10-08T14:25:45Z</dcterms:created>
  <dcterms:modified xsi:type="dcterms:W3CDTF">2026-10-08T14:25:45Z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