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What eighteen economies’ long-run projections do, and do not, say about the demographic dividend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Re-estimated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shows how two early correlations that looked strong did not survive a frozen re-run.</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A spring 2025 summary reported 0.56 for the same pair. It also reported that total and active population growth correlate at 0.90. In the final table the two series differ by exactly 0.2 percentage points in every economy, so one was built from the other and the correlation carries no information.</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Filled dots: frozen final table, with 95% intervals. Hollow dots: values in the spring 2025 summary. Source: the project’s final 18-economy table (published population projections, long-run growth scenarios and development indicators); the author’s calculations.</w:t>
            </w:r>
          </w:p>
          <w:bookmarkEnd w:id="14"/>
        </w:tc>
      </w:tr>
    </w:tbl>
    <w:p>
      <w:pPr>
        <w:pStyle w:val="BodyText"/>
      </w:pPr>
      <w:r>
        <w:rPr>
          <w:b/>
          <w:bCs/>
        </w:rPr>
        <w:t xml:space="preserve">Inequality: the sign survives, the strength does not.</w:t>
      </w:r>
      <w:r>
        <w:t xml:space="preserve"> </w:t>
      </w:r>
      <w:r>
        <w:t xml:space="preserve">The spring summary put the inequality-growth correlation at about −0.74, the strongest of the social links. The frozen table gives −0.22, with an interval from −0.62 to +0.27, and the rank correlation is only −0.08. The earlier figure most likely came from a wider early sample that included several Gulf economies and Egypt, which the final table does not contain.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 An earlier run reported R-squared values of about 0.37 and 0.38, both positive, and a composite that did better than either; that run used projected growth per head, a measure the final table does not hold, so it cannot be reproduced.</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limits-and-next-steps"/>
    <w:p>
      <w:pPr>
        <w:pStyle w:val="Heading2"/>
      </w:pPr>
      <w:r>
        <w:t xml:space="preserve">Limits and next steps</w:t>
      </w:r>
    </w:p>
    <w:p>
      <w:pPr>
        <w:pStyle w:val="FirstParagraph"/>
      </w:pPr>
      <w:r>
        <w:t xml:space="preserve">The comparison is cross-sectional, with 18 observations, and the growth variable is itself a projection rather than an outcome. It therefore shows how forecasts line up with fundamentals, not what fundamentals cause. The projections already embed demographic assumptions, so some of the demography-growth link is built in.</w:t>
      </w:r>
    </w:p>
    <w:p>
      <w:pPr>
        <w:pStyle w:val="BodyText"/>
      </w:pPr>
      <w:r>
        <w:t xml:space="preserve">The demographic factor, as constructed, was dominated by population size rather than by the speed or shape of change, which is not the dimension that the dividend argument cares about. A better version would build the factor from growth and timing variables only. Early summaries reported different correlations for the same relationships. Re-estimated on the frozen final table, two of the five headline values moved by more than 0.3 and one turned out to be built in by construction. That is why every value quoted here comes from that one table. Next steps are to add dependency-ratio timing as an explicit regressor, to include a measure of productivity growth, and to test whether the inequality effect survives once the sample is widened beyond 18 economies.</w:t>
      </w:r>
    </w:p>
    <w:p>
      <w:pPr>
        <w:pStyle w:val="BodyText"/>
      </w:pPr>
      <w:r>
        <w:t xml:space="preserve">The investment-style tiering that accompanied the early drafts was a presentation device, not a result, and is not offered here as advice.</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were re-estimated in October 2026 on the project’s frozen final table of 18 economies, with 95% intervals from the Fisher transformation. The spring 2025 values are quoted only where they differ.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2026-10-08T14:27:47Z</dcterms:created>
  <dcterms:modified xsi:type="dcterms:W3CDTF">2026-10-08T14:27:47Z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What eighteen economies’ long-run projections do, and do not, say about the demographic dividend</vt:lpwstr>
  </property>
  <property fmtid="{D5CDD505-2E9C-101B-9397-08002B2CF9AE}" pid="17" name="title-block-banner">
    <vt:lpwstr>False</vt:lpwstr>
  </property>
  <property fmtid="{D5CDD505-2E9C-101B-9397-08002B2CF9AE}" pid="18" name="toc-title">
    <vt:lpwstr>Table of contents</vt:lpwstr>
  </property>
</Properties>
</file>