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still uses simulated data until the cross-country re-run is done.</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honest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limits-and-next-steps"/>
    <w:p>
      <w:pPr>
        <w:pStyle w:val="Heading2"/>
      </w:pPr>
      <w:r>
        <w:t xml:space="preserve">Limits and next steps</w:t>
      </w:r>
    </w:p>
    <w:p>
      <w:pPr>
        <w:pStyle w:val="FirstParagraph"/>
      </w:pPr>
      <w:r>
        <w:t xml:space="preserve">The application covers five pairs of US price series, and a refutation of one claim for those series is not a general statement about price pass-through. Coherence is not causation: common drivers could produce coupling in the business-cycle band. The size and variance share of the frequency-selective link has not been quantified, and the claim that it has forecasting value has not been tested. The natural next step is a forecasting experiment in which a band-limited component of producer prices is used to predict consumer service inflation out of sample, compared with a naive benchmark. The cross-country long-run growth estimates also need to be re-run and tabulated before they are shown.</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2026-10-08T14:37:20Z</dcterms:created>
  <dcterms:modified xsi:type="dcterms:W3CDTF">2026-10-08T14:37:20Z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