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is the one robust driver; policy rates show no measurable direct effect.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An earlier estimation with a very large instrument set produced a pathological over-identification test and a spurious significant policy-rate coefficient. Using a small, pooled instrument set restored a test that does not reject. Results were also re-estimated after correcting one economy’s inflation series, which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and an earlier</w:t>
      </w:r>
      <w:r>
        <w:t xml:space="preserve"> </w:t>
      </w:r>
      <w:r>
        <w:t xml:space="preserve">“significant”</w:t>
      </w:r>
      <w:r>
        <w:t xml:space="preserve"> </w:t>
      </w:r>
      <w:r>
        <w:t xml:space="preserve">effect did not.</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limits-and-next-steps"/>
    <w:p>
      <w:pPr>
        <w:pStyle w:val="Heading2"/>
      </w:pPr>
      <w:r>
        <w:t xml:space="preserve">Limits and next steps</w:t>
      </w:r>
    </w:p>
    <w:p>
      <w:pPr>
        <w:pStyle w:val="FirstParagraph"/>
      </w:pPr>
      <w:r>
        <w:t xml:space="preserve">The panel has only five economies, so cross-country inference is limited and the results describe this group, not emerging markets in general. Monthly industrial output is a narrow measure of activity. The policy-rate result is a statement about a direct, linear, contemporaneous effect; it says nothing about expectations, forward guidance or effects at longer lags. The exclusion restrictions behind the instrumental-variable estimates cannot be proven, only tested for consistency, and with a small set of instruments the over-identification test has little power. Next steps are a larger panel, separate pre- and post-crisis samples, and an out-of-sample test of the spread-level lead.</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2026-10-08T13:47:27Z</dcterms:created>
  <dcterms:modified xsi:type="dcterms:W3CDTF">2026-10-08T13:47:27Z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is the one robust driver; policy rates show no measurable direct effect.</vt:lpwstr>
  </property>
  <property fmtid="{D5CDD505-2E9C-101B-9397-08002B2CF9AE}" pid="16" name="title-block-banner">
    <vt:lpwstr>False</vt:lpwstr>
  </property>
  <property fmtid="{D5CDD505-2E9C-101B-9397-08002B2CF9AE}" pid="17" name="toc-title">
    <vt:lpwstr>Table of contents</vt:lpwstr>
  </property>
</Properties>
</file>