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honest outcome of the design review was to cut the proposed rule additions that could not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limits-and-next-steps"/>
    <w:p>
      <w:pPr>
        <w:pStyle w:val="Heading2"/>
      </w:pPr>
      <w:r>
        <w:t xml:space="preserve">Limits and next steps</w:t>
      </w:r>
    </w:p>
    <w:p>
      <w:pPr>
        <w:pStyle w:val="FirstParagraph"/>
      </w:pPr>
      <w:r>
        <w:t xml:space="preserve">The checks cover a small set of documented traps. It cannot judge whether a model is appropriate, and some real errors, such as claiming model identification at a setting that does not perform it, depend on intent and cannot be found by reading code. The reference index covers the commands extracted so far, not the full language. Some components have so far been validated only on crafted cases, and everything has been run in a single computing environment, so portability is unproven.</w:t>
      </w:r>
    </w:p>
    <w:p>
      <w:pPr>
        <w:pStyle w:val="BodyText"/>
      </w:pPr>
      <w:r>
        <w:t xml:space="preserve">Next steps are a wider set of crafted raw outputs, validation of the second connection route, and extending the same regenerate-and-compare discipline from seasonal-adjustment diagnostics to estimated model coefficients and forecasts.</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2026-10-08T13:48:06Z</dcterms:created>
  <dcterms:modified xsi:type="dcterms:W3CDTF">2026-10-08T13:48:06Z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