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limits-and-next-steps"/>
    <w:p>
      <w:pPr>
        <w:pStyle w:val="Heading2"/>
      </w:pPr>
      <w:r>
        <w:t xml:space="preserve">Limits and next steps</w:t>
      </w:r>
    </w:p>
    <w:p>
      <w:pPr>
        <w:pStyle w:val="FirstParagraph"/>
      </w:pPr>
      <w:r>
        <w:t xml:space="preserve">An area panel cannot see what happens inside an area. A cost shock that passes through hardest where tenant demand is least elastic, or a landlord with a portfolio across authorities, is below its resolution. The null is silent on those mechanisms rather than exculpatory, and a household- or landlord-level incidence design is the right next test.</w:t>
      </w:r>
    </w:p>
    <w:p>
      <w:pPr>
        <w:pStyle w:val="BodyText"/>
      </w:pPr>
      <w:r>
        <w:t xml:space="preserve">The window is also short and mid-transmission. The effective mortgage rate had only reached about 3.8% by early 2024, and fixed-rate deals taken out in 2021–22 were still rolling off. Tenancies reprice at renewal, and the rent series records rents currently paid, so adjustment is staggered and slow by construction. The rate study therefore commits to a replication once transmission is complete. Finally, the benefit estimates identify the direction of the effect robustly but their size depends on the specification, and the sustenance reading of housing support that sits alongside them is consistent with the results without being tested by them.</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2026-10-08T13:49:31Z</dcterms:created>
  <dcterms:modified xsi:type="dcterms:W3CDTF">2026-10-08T13:49:31Z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