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Honest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limits-and-next-steps"/>
    <w:p>
      <w:pPr>
        <w:pStyle w:val="Heading2"/>
      </w:pPr>
      <w:r>
        <w:t xml:space="preserve">Limits and next steps</w:t>
      </w:r>
    </w:p>
    <w:p>
      <w:pPr>
        <w:pStyle w:val="FirstParagraph"/>
      </w:pPr>
      <w:r>
        <w:t xml:space="preserve">The window is twelve monthly observations. That is enough to say the system is not an outlier among bank forecasters, and too short to rank it precisely against them or against the median. A difference of a few hundredths of a percentage point per month between forecasters is within what one or two unusual months can produce.</w:t>
      </w:r>
    </w:p>
    <w:p>
      <w:pPr>
        <w:pStyle w:val="BodyText"/>
      </w:pPr>
      <w:r>
        <w:t xml:space="preserve">The test also covers a particular period, one of declining but stubborn inflation. A bottom-up system could behave differently when relative prices move sharply, for example in a commodity shock, and the window does not tell us.</w:t>
      </w:r>
    </w:p>
    <w:p>
      <w:pPr>
        <w:pStyle w:val="BodyText"/>
      </w:pPr>
      <w:r>
        <w:t xml:space="preserve">Two extensions would strengthen the work. First, a longer scored history, with formal tests of equal predictive accuracy against the consensus, so that</w:t>
      </w:r>
      <w:r>
        <w:t xml:space="preserve"> </w:t>
      </w:r>
      <w:r>
        <w:t xml:space="preserve">“slightly behind”</w:t>
      </w:r>
      <w:r>
        <w:t xml:space="preserve"> </w:t>
      </w:r>
      <w:r>
        <w:t xml:space="preserve">becomes a statement with a confidence interval. Second, a scoring split by category, to show which components the system forecasts best and which it should hand over to the pooled average.</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2026-10-08T13:58:50Z</dcterms:created>
  <dcterms:modified xsi:type="dcterms:W3CDTF">2026-10-08T13:58:50Z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