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How demographics and social conditions line up with projected long-run growth across eighteen emerging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checks each early correlation against a frozen re-run, so that only relationships that hold carry the conclusions.</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Total population growth adds nothing beyond it: in the source table the two series differ by a constant in every economy.</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Dots: frozen final table, with 95% intervals. Source: the project’s final 18-economy table (published population projections, long-run growth scenarios and development indicators); the author’s calculations.</w:t>
            </w:r>
          </w:p>
          <w:bookmarkEnd w:id="14"/>
        </w:tc>
      </w:tr>
    </w:tbl>
    <w:p>
      <w:pPr>
        <w:pStyle w:val="BodyText"/>
      </w:pPr>
      <w:r>
        <w:rPr>
          <w:b/>
          <w:bCs/>
        </w:rPr>
        <w:t xml:space="preserve">Inequality points the expected way, weakly.</w:t>
      </w:r>
      <w:r>
        <w:t xml:space="preserve"> </w:t>
      </w:r>
      <w:r>
        <w:t xml:space="preserve">The frozen table gives an inequality-growth correlation of −0.22, with an interval from −0.62 to +0.27, and a rank correlation of −0.08.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scope-and-next-steps"/>
    <w:p>
      <w:pPr>
        <w:pStyle w:val="Heading2"/>
      </w:pPr>
      <w:r>
        <w:t xml:space="preserve">Scope and next steps</w:t>
      </w:r>
    </w:p>
    <w:p>
      <w:pPr>
        <w:pStyle w:val="FirstParagraph"/>
      </w:pPr>
      <w:r>
        <w:t xml:space="preserve">The study is built to test the demographic-dividend argument against long-run growth projections across a cross-section of economies, on one frozen table, so that every quoted value traces to a single source. Because the projections embed demographic assumptions of their own, it reads how forecasts line up with fundamentals.</w:t>
      </w:r>
    </w:p>
    <w:p>
      <w:pPr>
        <w:pStyle w:val="BodyText"/>
      </w:pPr>
      <w:r>
        <w:t xml:space="preserve">The natural extensions are four. First, a demographic factor built from the speed and timing of population change rather than its size. Second, dependency-ratio timing as an explicit regressor, and a measure of productivity growth. Third, realised growth outcomes in place of projections, to move from how forecasts line up with fundamentals to what fundamentals cause. Fourth, a wider sample of economies, to test whether the working-age and inequality effects hold in a larger cross-section.</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are estimated on the project’s frozen final table of 18 economies, with 95% intervals from the Fisher transformation.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2026-10-08T21:31:47Z</dcterms:created>
  <dcterms:modified xsi:type="dcterms:W3CDTF">2026-10-08T21:31:47Z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How demographics and social conditions line up with projected long-run growth across eighteen emerging economies</vt:lpwstr>
  </property>
  <property fmtid="{D5CDD505-2E9C-101B-9397-08002B2CF9AE}" pid="17" name="title-block-banner">
    <vt:lpwstr>False</vt:lpwstr>
  </property>
  <property fmtid="{D5CDD505-2E9C-101B-9397-08002B2CF9AE}" pid="18" name="toc-title">
    <vt:lpwstr>Table of contents</vt:lpwstr>
  </property>
</Properties>
</file>