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 very large instrument set produces a pathological over-identification test and a spurious significant policy-rate coefficient; a small, pooled instrument set gives a test that does not reject. Each economy’s inflation series was also validated before estimation, a step that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 over-instrumented estimator can manufacture significance where there is none.</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is built to separate a direct, contemporaneous effect of the policy rate on industrial output from global conditions, using fixed-effects and instrumental-variable estimators with the instrument set tested for validity.</w:t>
      </w:r>
    </w:p>
    <w:p>
      <w:pPr>
        <w:pStyle w:val="BodyText"/>
      </w:pPr>
      <w:r>
        <w:t xml:space="preserve">The natural extensions are three. First, a larger panel of economies and broader activity measures. Second, separate pre- and post-crisis samples, and the channels a direct effect does not capture: expectations, forward guidance and longer lags. Third, an out-of-sample test of the lead carried by the spread level.</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2026-10-08T21:33:08Z</dcterms:created>
  <dcterms:modified xsi:type="dcterms:W3CDTF">2026-10-08T21:33:08Z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