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design review therefore kept only the rule additions that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scope-and-next-steps"/>
    <w:p>
      <w:pPr>
        <w:pStyle w:val="Heading2"/>
      </w:pPr>
      <w:r>
        <w:t xml:space="preserve">Scope and next steps</w:t>
      </w:r>
    </w:p>
    <w:p>
      <w:pPr>
        <w:pStyle w:val="FirstParagraph"/>
      </w:pPr>
      <w:r>
        <w:t xml:space="preserve">The toolkit is built to catch a documented set of econometric traps before and after estimation: pre-run checks on scripts, a reference index of the estimation language’s commands, and a regenerate-and-compare discipline for seasonal-adjustment diagnostics.</w:t>
      </w:r>
    </w:p>
    <w:p>
      <w:pPr>
        <w:pStyle w:val="BodyText"/>
      </w:pPr>
      <w:r>
        <w:t xml:space="preserve">The natural extensions are three. First, a wider library of crafted raw outputs. Second, validating the toolkit across more computing environments and routes into the estimation software. Third, extending regenerate-and-compare from seasonal-adjustment diagnostics to estimated coefficients and forecasts.</w:t>
      </w:r>
    </w:p>
    <w:p>
      <w:pPr>
        <w:pStyle w:val="BodyText"/>
      </w:pPr>
      <w:r>
        <w:t xml:space="preserve">The toolkit can be discussed on request.</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2026-10-08T21:33:48Z</dcterms:created>
  <dcterms:modified xsi:type="dcterms:W3CDTF">2026-10-08T21:33:48Z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