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scope-and-next-steps"/>
    <w:p>
      <w:pPr>
        <w:pStyle w:val="Heading2"/>
      </w:pPr>
      <w:r>
        <w:t xml:space="preserve">Scope and next steps</w:t>
      </w:r>
    </w:p>
    <w:p>
      <w:pPr>
        <w:pStyle w:val="FirstParagraph"/>
      </w:pPr>
      <w:r>
        <w:t xml:space="preserve">The method is built to find regional price links in frequency terms: a screen ranks pairs of series by the coherence of their surprises, and a policy timeline frames what the strongest regional links could mean.</w:t>
      </w:r>
    </w:p>
    <w:p>
      <w:pPr>
        <w:pStyle w:val="BodyText"/>
      </w:pPr>
      <w:r>
        <w:t xml:space="preserve">The natural extensions are three. First, phase and gain by frequency band for the four northern-border pairs, to show which side leads and by how much. Second, a sample split at 2017, which would turn the liberalisation reading into a formal test. Third, a check of how the US city motor-fuel index and Mexico’s north-west gasoline index are constructed, the strongest open lead from the screen.</w:t>
      </w:r>
    </w:p>
    <w:p>
      <w:pPr>
        <w:pStyle w:val="BodyText"/>
      </w:pPr>
      <w:r>
        <w:t xml:space="preserve">The full screen and its results can be discussed on request.</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2026-10-08T21:34:32Z</dcterms:created>
  <dcterms:modified xsi:type="dcterms:W3CDTF">2026-10-08T21:34:32Z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