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scope-and-next-steps"/>
    <w:p>
      <w:pPr>
        <w:pStyle w:val="Heading2"/>
      </w:pPr>
      <w:r>
        <w:t xml:space="preserve">Scope and next steps</w:t>
      </w:r>
    </w:p>
    <w:p>
      <w:pPr>
        <w:pStyle w:val="FirstParagraph"/>
      </w:pPr>
      <w:r>
        <w:t xml:space="preserve">The study is built as a ladder of model families, solved and compared for the regularities each can reproduce, so that the choice of model for a forecast, a scenario or a policy question can be made deliberately. Its figures illustrate that qualitative behaviour.</w:t>
      </w:r>
    </w:p>
    <w:p>
      <w:pPr>
        <w:pStyle w:val="BodyText"/>
      </w:pPr>
      <w:r>
        <w:t xml:space="preserve">The natural extensions are three. First, calibrating a small open economy projection model to a chosen country. Second, estimating its implied reduced form. Third, comparing the out-of-sample forecast performance of the rungs of the ladder.</w:t>
      </w:r>
    </w:p>
    <w:p>
      <w:pPr>
        <w:pStyle w:val="BodyText"/>
      </w:pPr>
      <w:r>
        <w:t xml:space="preserve">The comparison can be discussed on request.</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2026-10-08T21:38:07Z</dcterms:created>
  <dcterms:modified xsi:type="dcterms:W3CDTF">2026-10-08T21:38:07Z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