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back-tested across 20 economies</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rigorously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reliable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clean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scope-and-next-steps"/>
    <w:p>
      <w:pPr>
        <w:pStyle w:val="Heading2"/>
      </w:pPr>
      <w:r>
        <w:t xml:space="preserve">Scope and next steps</w:t>
      </w:r>
    </w:p>
    <w:p>
      <w:pPr>
        <w:pStyle w:val="FirstParagraph"/>
      </w:pPr>
      <w:r>
        <w:t xml:space="preserve">The engine is built to forecast inflation across economies by combining several methods, with forecasts chained into an index so that the monthly and annual views cannot disagree. Back-test runs for 2024–2025 are stored for each economy; the figures here are simulated and show the method’s logic.</w:t>
      </w:r>
    </w:p>
    <w:p>
      <w:pPr>
        <w:pStyle w:val="BodyText"/>
      </w:pPr>
      <w:r>
        <w:t xml:space="preserve">The natural extensions are three. First, a per-economy accuracy table from the stored back-test runs, against the naive benchmark by horizon. Second, a UK panel. Third, a test of whether the combination weights stay stable across forecast origins, and a separate evaluation of calibrated probability bands.</w:t>
      </w:r>
    </w:p>
    <w:p>
      <w:pPr>
        <w:pStyle w:val="BodyText"/>
      </w:pPr>
      <w:r>
        <w:t xml:space="preserve">The engine can be discussed on request.</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back-tested across 20 economies</dc:title>
  <dc:creator>Carlos Galindo</dc:creator>
  <dc:description>How a multi-method inflation forecasting engine was rebuilt and back-tested across 20 economies, and what a fair out-of-sample test demands.</dc:description>
  <dc:language>en-GB</dc:language>
  <cp:keywords/>
  <dcterms:created xsi:type="dcterms:W3CDTF">2026-10-08T21:41:38Z</dcterms:created>
  <dcterms:modified xsi:type="dcterms:W3CDTF">2026-10-08T21:41:38Z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