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framework for testing trading rules</w:t>
      </w:r>
    </w:p>
    <w:p>
      <w:pPr>
        <w:pStyle w:val="Subtitle"/>
      </w:pPr>
      <w:r>
        <w:t xml:space="preserve">A net-of-cost, out-of-sample design, corrected for multiple testing, that separates genuine predictive power from data-mined results, applied to a time-varying-sensitivity rule and a calendar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The framework returned a clear verdict on both candidates: no exploitable edge net of costs. The time-varying-sensitivity signal’s deflated Sharpe ratio was essentially zero, and a simpler calendar rule on equities met the same verdict.</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All six configurations were counted.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scope-and-next-steps"/>
    <w:p>
      <w:pPr>
        <w:pStyle w:val="Heading2"/>
      </w:pPr>
      <w:r>
        <w:t xml:space="preserve">Scope and next steps</w:t>
      </w:r>
    </w:p>
    <w:p>
      <w:pPr>
        <w:pStyle w:val="FirstParagraph"/>
      </w:pPr>
      <w:r>
        <w:t xml:space="preserve">The test is built as a pre-registered template: one family of rules on one asset at daily frequency, with the rule, the prior, the data substitutions and the out-of-scope variants written down in advance, so that the result cannot be reinterpreted after the fact.</w:t>
      </w:r>
    </w:p>
    <w:p>
      <w:pPr>
        <w:pStyle w:val="BodyText"/>
      </w:pPr>
      <w:r>
        <w:t xml:space="preserve">The natural extensions are two. First, applying the same template to other candidate signals, so that the number of trials is tracked across a whole research programme and not only within one test. Second, examining low-frequency relationships in levels, where the original motivation lives, to the same standard.</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framework for testing trading rules</dc:title>
  <dc:creator>Carlos Galindo</dc:creator>
  <dc:description>How a fixed evaluation design was built and applied to a plausible macro-driven trading rule, and why a clear verdict either way is the result such a design exists to deliver.</dc:description>
  <dc:language>en-GB</dc:language>
  <cp:keywords/>
  <dcterms:created xsi:type="dcterms:W3CDTF">2026-10-08T21:46:23Z</dcterms:created>
  <dcterms:modified xsi:type="dcterms:W3CDTF">2026-10-08T21:46:23Z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net-of-cost, out-of-sample design, corrected for multiple testing, that separates genuine predictive power from data-mined results, applied to a time-varying-sensitivity rule and a calendar rule</vt:lpwstr>
  </property>
  <property fmtid="{D5CDD505-2E9C-101B-9397-08002B2CF9AE}" pid="17" name="title-block-banner">
    <vt:lpwstr>False</vt:lpwstr>
  </property>
  <property fmtid="{D5CDD505-2E9C-101B-9397-08002B2CF9AE}" pid="18" name="toc-title">
    <vt:lpwstr>Table of contents</vt:lpwstr>
  </property>
</Properties>
</file>