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scope-and-next-steps"/>
    <w:p>
      <w:pPr>
        <w:pStyle w:val="Heading2"/>
      </w:pPr>
      <w:r>
        <w:t xml:space="preserve">Scope and next steps</w:t>
      </w:r>
    </w:p>
    <w:p>
      <w:pPr>
        <w:pStyle w:val="FirstParagraph"/>
      </w:pPr>
      <w:r>
        <w:t xml:space="preserve">The workflow shows that machine-assisted work can be made traceable. It does not show that the models forecast well, and nothing here should be read as estimates on real data. The model is a minimal linear core. The full forward-looking solution with rational expectations is not implemented, the fiscal block is reduced to a simple additive term rather than full debt dynamics, and the political-risk correction is a non-structural add-on rather than a rule embedded in a structural model. Those are the documented gaps, and each is a research task in its own right.</w:t>
      </w:r>
    </w:p>
    <w:p>
      <w:pPr>
        <w:pStyle w:val="BodyText"/>
      </w:pPr>
      <w:r>
        <w:t xml:space="preserve">Three steps would strengthen the work. First, solve the forward-looking model and test that the structural version reduces to the current one in the appropriate limit, using the same equivalence logic. Second, run the workflow on real data, with the same logging, and compare the audit trail with the simulated one. Third, put the checks into an automated gate that fails a run whenever an expected artefact or provenance record is missing, so the discipline does not depend on anyone remembering it.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2026-10-08T15:46:15Z</dcterms:created>
  <dcterms:modified xsi:type="dcterms:W3CDTF">2026-10-08T15:46:15Z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