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because an earlier extraction had stored the credit-to-GDP ratio under the gap’s label.</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Where the original dynamic-panel estimation used a very large instrument set relative to five countries, it was replaced by a parsimonious one and the test of instrument validity re-run.</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A significant negative result that appeared under the earlier, over-instrumented estimation disappeared once the instrument set was made credible, and the test of instrument validity then no longer rejected.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each claim precise.</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scope-and-next-steps"/>
    <w:p>
      <w:pPr>
        <w:pStyle w:val="Heading2"/>
      </w:pPr>
      <w:r>
        <w:t xml:space="preserve">Scope and next steps</w:t>
      </w:r>
    </w:p>
    <w:p>
      <w:pPr>
        <w:pStyle w:val="FirstParagraph"/>
      </w:pPr>
      <w:r>
        <w:t xml:space="preserve">The panel has only five economies, so the results describe a small group, not emerging markets in general. Estimates are contemporaneous and linear; they do not capture thresholds or longer credit lags, and the volatility effect may partly reflect common global demand. The activity model uses one output measure and should be extended to labour-market and external-account outcomes. The downstream step, turning the diagnostics into regular written macro briefs, has been designed but not built. The early-warning screen applies a published threshold to the credit gap only; it sets none for the debt-service ratio and has not been tested out of sample, so it describes where jurisdictions stand rather than predicting crises.</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2026-10-08T15:47:34Z</dcterms:created>
  <dcterms:modified xsi:type="dcterms:W3CDTF">2026-10-08T15:47:34Z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