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Re-estimated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A spring 2025 summary reported 0.56 for the same pair. It also reported that total and active population growth correlate at 0.90. In the final table the two series differ by exactly 0.2 percentage points in every economy, so one was built from the other and the correlation carries no information.</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Filled dots: frozen final table, with 95% intervals. Hollow dots: values in the spring 2025 summary. Source: the project’s final 18-economy table (published population projections, long-run growth scenarios and development indicators); the author’s calculations.</w:t>
            </w:r>
          </w:p>
          <w:bookmarkEnd w:id="14"/>
        </w:tc>
      </w:tr>
    </w:tbl>
    <w:p>
      <w:pPr>
        <w:pStyle w:val="BodyText"/>
      </w:pPr>
      <w:r>
        <w:rPr>
          <w:b/>
          <w:bCs/>
        </w:rPr>
        <w:t xml:space="preserve">Inequality: the sign survives, the strength does not.</w:t>
      </w:r>
      <w:r>
        <w:t xml:space="preserve"> </w:t>
      </w:r>
      <w:r>
        <w:t xml:space="preserve">The spring summary put the inequality-growth correlation at about −0.74, the strongest of the social links. The frozen table gives −0.22, with an interval from −0.62 to +0.27, and the rank correlation is only −0.08. The earlier figure most likely came from a wider early sample that included several Gulf economies and Egypt, which the final table does not contain.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 An earlier run reported R-squared values of about 0.37 and 0.38, both positive, and a composite that did better than either; that run used projected growth per head, a measure the final table does not hold, so it cannot be reproduced.</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reported different correlations for the same relationships. Re-estimated on the frozen final table, two of the five headline values moved by more than 0.3 and one turned out to be built in by construction. That is why every value quoted here comes from that one table.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were re-estimated in October 2026 on the project’s frozen final table of 18 economies, with 95% intervals from the Fisher transformation. The spring 2025 values are quoted only where they differ.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2026-10-08T15:48:50Z</dcterms:created>
  <dcterms:modified xsi:type="dcterms:W3CDTF">2026-10-08T15:48:50Z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