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scope-and-next-steps"/>
    <w:p>
      <w:pPr>
        <w:pStyle w:val="Heading2"/>
      </w:pPr>
      <w:r>
        <w:t xml:space="preserve">Scope and next steps</w:t>
      </w:r>
    </w:p>
    <w:p>
      <w:pPr>
        <w:pStyle w:val="FirstParagraph"/>
      </w:pPr>
      <w:r>
        <w:t xml:space="preserve">Coherence averaged over all frequencies says that two surprise series move together, not which leads, by how much, or at what horizon. The natural next step is to report phase and gain by frequency band for the four northern-border pairs. Splitting the sample at 2017 would then test whether the border region’s link to the United States changed with liberalisation, which would turn the policy reading from</w:t>
      </w:r>
      <w:r>
        <w:t xml:space="preserve"> </w:t>
      </w:r>
      <w:r>
        <w:t xml:space="preserve">“consistent with”</w:t>
      </w:r>
      <w:r>
        <w:t xml:space="preserve"> </w:t>
      </w:r>
      <w:r>
        <w:t xml:space="preserve">into a test.</w:t>
      </w:r>
    </w:p>
    <w:p>
      <w:pPr>
        <w:pStyle w:val="BodyText"/>
      </w:pPr>
      <w:r>
        <w:t xml:space="preserve">The policy timeline is context, not evidence: the analysis does not observe border fuel prices directly. The composition of Mexico’s statistical regions is not used, so the reading by state is indicative only. Regional consumer price sub-indices are noisy, and the estimator’s floor of about 0.21 limits what modest coherence can show.</w:t>
      </w:r>
    </w:p>
    <w:p>
      <w:pPr>
        <w:pStyle w:val="BodyText"/>
      </w:pPr>
      <w:r>
        <w:t xml:space="preserve">The robust anomaly, a single US city’s motor-fuel index moving closely with Mexico’s north-west gasoline index, is the open lead. It needs checking against how the two series are constructed before any economic reading. Until then it is reported, not interpreted.</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2026-10-08T15:51:26Z</dcterms:created>
  <dcterms:modified xsi:type="dcterms:W3CDTF">2026-10-08T15:51:26Z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