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turns out to be mostly a price-comparison artefact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An early version produced absurd growth figures because nominal rather than constant prices had been used; catching that against a simple cross-check on employment shares was part of the validation.</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scope-and-next-steps"/>
    <w:p>
      <w:pPr>
        <w:pStyle w:val="Heading2"/>
      </w:pPr>
      <w:r>
        <w:t xml:space="preserve">Scope and next steps</w:t>
      </w:r>
    </w:p>
    <w:p>
      <w:pPr>
        <w:pStyle w:val="FirstParagraph"/>
      </w:pPr>
      <w:r>
        <w:t xml:space="preserve">The attribution of roughly 70 per cent to measurement is the investigation’s own judgement, built from sector ratios, plausibility arguments and the capital-share and oil tests. It is not an estimated decomposition and carries no confidence interval. The corrected productivity level of about 65 per cent of the US also rests on the same reasoning. Two things would strengthen it: a formal decomposition that nests the deflator channel as a parameter, and a sector-by-sector re-pricing using detailed international price survey data in place of aggregate factors. The sectoral database covers a limited set of countries and sectors, and the first decomposition runs had to be redone after a prices error, so the final numbers depend on the checks described above.</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2026-10-08T15:54:42Z</dcterms:created>
  <dcterms:modified xsi:type="dcterms:W3CDTF">2026-10-08T15:54:42Z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turns out to be mostly a price-comparison artefact</vt:lpwstr>
  </property>
  <property fmtid="{D5CDD505-2E9C-101B-9397-08002B2CF9AE}" pid="17" name="title-block-banner">
    <vt:lpwstr>False</vt:lpwstr>
  </property>
  <property fmtid="{D5CDD505-2E9C-101B-9397-08002B2CF9AE}" pid="18" name="toc-title">
    <vt:lpwstr>Table of contents</vt:lpwstr>
  </property>
</Properties>
</file>