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finds candidates, not causes. High coherence between two series says they share movement at some frequency; it does not say why, and in a very large search some of it will be chance. Pairs of interest need a second stage: stability across sub-periods, a correction for the number of pairs searched, and an economic story.</w:t>
      </w:r>
    </w:p>
    <w:p>
      <w:pPr>
        <w:pStyle w:val="BodyText"/>
      </w:pPr>
      <w:r>
        <w:t xml:space="preserve">The coverage is also thin by construction, under one tenth of one per cent of possible pairs. The search was stratified rather than exhaustive, so results should be read as a sample of the space, not a census. The series came from a licensed source, so the underlying values and the ranked list of strongest pairs are not reproduced here. A natural next step is a published, simulated benchmark on which the full screen, including its multiple-testing correction, can be demonstrated end to end.</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2026-10-08T15:57:26Z</dcterms:created>
  <dcterms:modified xsi:type="dcterms:W3CDTF">2026-10-08T15:57:26Z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