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far can a projection be trusted?</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sensible; whether the model adds accuracy beyond the benchmark is the open, testable question.</w:t>
            </w:r>
          </w:p>
          <w:p>
            <w:pPr>
              <w:pStyle w:val="Compact"/>
              <w:numPr>
                <w:ilvl w:val="0"/>
                <w:numId w:val="1001"/>
              </w:numPr>
            </w:pPr>
            <w:r>
              <w:rPr>
                <w:b/>
                <w:bCs/>
              </w:rPr>
              <w:t xml:space="preserve">Why it matters.</w:t>
            </w:r>
            <w:r>
              <w:t xml:space="preserve"> </w:t>
            </w:r>
            <w:r>
              <w:t xml:space="preserve">Policy and market readers need a consistent, comparable read of underlying inflation. They also need to know what the projections have, and have not, been tested against.</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w:t>
      </w:r>
    </w:p>
    <w:p>
      <w:pPr>
        <w:pStyle w:val="BodyText"/>
      </w:pPr>
      <w:r>
        <w:t xml:space="preserve">Seasonal adjustment uses a cascade: a standard model-based method is tried first, with fallbacks if it fails for a series. Cycle extraction uses a band-pass filter that keeps fluctuations between 18 and 96 months, alongside smoothing filters at several settings.</w:t>
      </w:r>
    </w:p>
    <w:bookmarkEnd w:id="10"/>
    <w:bookmarkStart w:id="11"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commodity and financial-conditions factors. The factors are extracted from large panels, with the number of factors set by parallel analysis. Structural breaks in the financial-conditions factor are tested for and handled.</w:t>
      </w:r>
    </w:p>
    <w:p>
      <w:pPr>
        <w:pStyle w:val="Compact"/>
        <w:numPr>
          <w:ilvl w:val="0"/>
          <w:numId w:val="1003"/>
        </w:numPr>
      </w:pPr>
      <w:r>
        <w:rPr>
          <w:b/>
          <w:bCs/>
        </w:rPr>
        <w:t xml:space="preserve">Selection.</w:t>
      </w:r>
      <w:r>
        <w:t xml:space="preserve"> </w:t>
      </w:r>
      <w:r>
        <w:t xml:space="preserve">Drivers are chosen by stepwise search at every stage, so each economy gets the specification its own data support.</w:t>
      </w:r>
    </w:p>
    <w:p>
      <w:pPr>
        <w:pStyle w:val="Compact"/>
        <w:numPr>
          <w:ilvl w:val="0"/>
          <w:numId w:val="1003"/>
        </w:numPr>
      </w:pPr>
      <w:r>
        <w:rPr>
          <w:b/>
          <w:bCs/>
        </w:rPr>
        <w:t xml:space="preserve">Quantile ensemble.</w:t>
      </w:r>
      <w:r>
        <w:t xml:space="preserve"> </w:t>
      </w:r>
      <w:r>
        <w:t xml:space="preserve">Rather than one regression, the system fits quantile regressions across many quantile levels, lag orders and forecast origins. Each combination gives a path. The forecast distribution is the cross-section of those paths at the end of the horizon, not an assumed bell curve.</w:t>
      </w:r>
    </w:p>
    <w:p>
      <w:pPr>
        <w:pStyle w:val="Compact"/>
        <w:numPr>
          <w:ilvl w:val="0"/>
          <w:numId w:val="1003"/>
        </w:numPr>
      </w:pPr>
      <w:r>
        <w:rPr>
          <w:b/>
          <w:bCs/>
        </w:rPr>
        <w:t xml:space="preserve">An outside anchor.</w:t>
      </w:r>
      <w:r>
        <w:t xml:space="preserve"> </w:t>
      </w:r>
      <w:r>
        <w:t xml:space="preserve">One candidate driver is an external benchmark forecast. The anchor is a weighted combination: 0.66 of the external forecast and 0.34 of a robust-mean target. For a handful of economies the benchmark replaces the model’s own target in the second stage.</w:t>
      </w:r>
    </w:p>
    <w:p>
      <w:pPr>
        <w:pStyle w:val="Compact"/>
        <w:numPr>
          <w:ilvl w:val="0"/>
          <w:numId w:val="1003"/>
        </w:numPr>
      </w:pPr>
      <w:r>
        <w:rPr>
          <w:b/>
          <w:bCs/>
        </w:rPr>
        <w:t xml:space="preserve">Regimes and fans.</w:t>
      </w:r>
      <w:r>
        <w:t xml:space="preserve"> </w:t>
      </w:r>
      <w:r>
        <w:t xml:space="preserve">The inflation cycle is classified into three levels, and a three-state Markov-switching model gives regime probabilities. Fan charts come from two routes: quantile bands, and a stochastic simulation of 1,000 replications that includes coefficient uncertainty and draws six bands up to 98 per cent.</w:t>
      </w:r>
    </w:p>
    <w:p>
      <w:pPr>
        <w:pStyle w:val="Compact"/>
        <w:numPr>
          <w:ilvl w:val="0"/>
          <w:numId w:val="1003"/>
        </w:numPr>
      </w:pPr>
      <w:r>
        <w:rPr>
          <w:b/>
          <w:bCs/>
        </w:rPr>
        <w:t xml:space="preserve">Scenarios.</w:t>
      </w:r>
      <w:r>
        <w:t xml:space="preserve"> </w:t>
      </w:r>
      <w:r>
        <w:t xml:space="preserve">A grid of exchange-rate and oil shocks of 5 and 10 per cent a year in each direction maps how headline inflation would respond. This part was run for selected economies in earlier reports and is switched off in the current setup.</w:t>
      </w:r>
    </w:p>
    <w:bookmarkEnd w:id="11"/>
    <w:bookmarkStart w:id="12" w:name="checking"/>
    <w:p>
      <w:pPr>
        <w:pStyle w:val="Heading3"/>
      </w:pPr>
      <w:r>
        <w:t xml:space="preserve">Checking</w:t>
      </w:r>
    </w:p>
    <w:p>
      <w:pPr>
        <w:pStyle w:val="FirstParagraph"/>
      </w:pPr>
      <w:r>
        <w:t xml:space="preserve">The only formal evaluation in the system is a point-forecast comparison against the external benchmark, using squared errors and rank comparisons, plus combinations weighted by regression. The next section sets out what that does and does not support.</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quantile ensemble produces many candidate paths, the system yields a full distribution at each horizon and not just a central line. Anchoring on an external benchmark keeps near-term projections sensible;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quantile paths avoids assuming a shape, and shows when risks are skewed.</w:t>
      </w:r>
    </w:p>
    <w:p>
      <w:pPr>
        <w:pStyle w:val="Compact"/>
        <w:numPr>
          <w:ilvl w:val="0"/>
          <w:numId w:val="1004"/>
        </w:numPr>
      </w:pPr>
      <w:r>
        <w:rPr>
          <w:b/>
          <w:bCs/>
        </w:rPr>
        <w:t xml:space="preserve">An outside anchor is a design choice with consequences.</w:t>
      </w:r>
      <w:r>
        <w:t xml:space="preserve"> </w:t>
      </w:r>
      <w:r>
        <w:t xml:space="preserve">Blending with a benchmark improves near-term plausibility, but it shifts the question from</w:t>
      </w:r>
      <w:r>
        <w:t xml:space="preserve"> </w:t>
      </w:r>
      <w:r>
        <w:t xml:space="preserve">“is the model good?”</w:t>
      </w:r>
      <w:r>
        <w:t xml:space="preserve"> </w:t>
      </w:r>
      <w:r>
        <w:t xml:space="preserve">to</w:t>
      </w:r>
      <w:r>
        <w:t xml:space="preserve"> </w:t>
      </w:r>
      <w:r>
        <w:t xml:space="preserve">“does the model add anything to the benchmark?”</w:t>
      </w:r>
      <w:r>
        <w:t xml:space="preserve"> </w:t>
      </w:r>
      <w:r>
        <w:t xml:space="preserve">That question needs an out-of-sample test that keeps the benchmark’s information out of the fit.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p>
      <w:pPr>
        <w:pStyle w:val="Compact"/>
        <w:numPr>
          <w:ilvl w:val="0"/>
          <w:numId w:val="1004"/>
        </w:numPr>
      </w:pPr>
      <w:r>
        <w:rPr>
          <w:b/>
          <w:bCs/>
        </w:rPr>
        <w:t xml:space="preserve">Review finds the edges.</w:t>
      </w:r>
      <w:r>
        <w:t xml:space="preserve"> </w:t>
      </w:r>
      <w:r>
        <w:t xml:space="preserve">A methods review of the finished system was worth doing precisely because it separated what the system establishes from what it only suggests.</w:t>
      </w:r>
    </w:p>
    <w:bookmarkEnd w:id="27"/>
    <w:bookmarkStart w:id="28" w:name="scope-and-next-steps"/>
    <w:p>
      <w:pPr>
        <w:pStyle w:val="Heading2"/>
      </w:pPr>
      <w:r>
        <w:t xml:space="preserve">Scope and next steps</w:t>
      </w:r>
    </w:p>
    <w:p>
      <w:pPr>
        <w:pStyle w:val="FirstParagraph"/>
      </w:pPr>
      <w:r>
        <w:t xml:space="preserve">The scope is specific. In the default configuration the second-stage fit uses data through the period covered by the external forecast, so any accuracy measured that way is flattered. A clean out-of-sample test needs that information switched off, which also changes the oil assumption. The fan charts are built from quantile paths that are iterated forward, smoothed and widened by judgement, and tails are trimmed at the 20th and 80th percentiles, so they are not calibrated quantiles. The evaluation covers point forecasts against the benchmark only: there is no coverage, probability-integral or density-score test. Runs also include unseeded random jitter, so results are not exactly repeatable.</w:t>
      </w:r>
    </w:p>
    <w:p>
      <w:pPr>
        <w:pStyle w:val="BodyText"/>
      </w:pPr>
      <w:r>
        <w:t xml:space="preserve">Next steps follow directly. First, an out-of-sample comparison against the benchmark with the benchmark’s period excluded from the fit. Second, calibration tests for the fans, and a seeded run so results can be reproduced. Third, a decision on whether the exchange-rate and oil scenario grid should be restored for all economies.</w:t>
      </w:r>
    </w:p>
    <w:p>
      <w:pPr>
        <w:pStyle w:val="BodyText"/>
      </w:pPr>
      <w:r>
        <w:t xml:space="preserve">I therefore do not claim that the projections beat the benchmark. The claim is that the monitor and projection system were rebuilt and extended, and that its design and limits are now documented.</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system’s design was reviewed from its own documentation and outputs;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 multi-country monitor of underlying inflation and the headline and core projection system behind it, with a clear statement of what was tested.</dc:description>
  <dc:language>en-GB</dc:language>
  <cp:keywords/>
  <dcterms:created xsi:type="dcterms:W3CDTF">2026-10-08T15:59:27Z</dcterms:created>
  <dcterms:modified xsi:type="dcterms:W3CDTF">2026-10-08T15:59:27Z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