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limits-and-next-steps"/>
    <w:p>
      <w:pPr>
        <w:pStyle w:val="Heading2"/>
      </w:pPr>
      <w:r>
        <w:t xml:space="preserve">Limits and next steps</w:t>
      </w:r>
    </w:p>
    <w:p>
      <w:pPr>
        <w:pStyle w:val="FirstParagraph"/>
      </w:pPr>
      <w:r>
        <w:t xml:space="preserve">These are derivation and explanation notes, not estimation. The coefficients in the worked examples are illustrative calibrations, chosen to make the algebra concrete; they are not estimates from data and should not be read as such. The three-equation system is closed-economy and uses a single shock. The projection-model notes derive the autoregressive form and set out the inputs it needs, but do not report an estimated model.</w:t>
      </w:r>
    </w:p>
    <w:p>
      <w:pPr>
        <w:pStyle w:val="BodyText"/>
      </w:pPr>
      <w:r>
        <w:t xml:space="preserve">The explanatory notes on the New Keynesian model and on debt dynamics were built partly from secondary reading, and any empirical magnitudes quoted there would need to be re-checked against primary data before being relied on; they are not used here. The natural next steps are to estimate the quarterly system on real data, to test the autoregressive benchmark against out-of-sample forecasts, and to extend the debt identity with a stochastic differential and a fiscal reaction function.</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2026-10-08T10:29:43Z</dcterms:created>
  <dcterms:modified xsi:type="dcterms:W3CDTF">2026-10-08T10:29:43Z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403</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