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limits-and-next-steps"/>
    <w:p>
      <w:pPr>
        <w:pStyle w:val="Heading2"/>
      </w:pPr>
      <w:r>
        <w:t xml:space="preserve">Limits and next steps</w:t>
      </w:r>
    </w:p>
    <w:p>
      <w:pPr>
        <w:pStyle w:val="FirstParagraph"/>
      </w:pPr>
      <w:r>
        <w:t xml:space="preserve">This is a study of model families, not an estimate of any one economy. The models were solved and compared for qualitative behaviour; none was taken through a full estimation against a national data set here, and the figures are illustrations, not results. The paper base was converted automatically, and a minority of entries could not be retrieved in full, so surveys drawn from it lean on the papers that were. The natural next steps are to calibrate a small open economy projection model to a chosen country, estimate the implied reduced form, and compare forecast performance of the rungs out of sample.</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2026-10-08T10:34:35Z</dcterms:created>
  <dcterms:modified xsi:type="dcterms:W3CDTF">2026-10-08T10:34:35Z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