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so that each value carries its exact series label and vintage and the gap is never confused with the underlying credit-to-GDP ratio.</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Because a very large instrument set is unreliable with five countries, the dynamic-panel estimation uses a parsimonious one and reports the test of instrument validity.</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The null is robust to the estimator: an over-instrumented estimator can manufacture a significant negative coefficient, and with a parsimonious instrument set that passes the test of instrument validity none remains.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each claim precise.</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scope-and-next-steps"/>
    <w:p>
      <w:pPr>
        <w:pStyle w:val="Heading2"/>
      </w:pPr>
      <w:r>
        <w:t xml:space="preserve">Scope and next steps</w:t>
      </w:r>
    </w:p>
    <w:p>
      <w:pPr>
        <w:pStyle w:val="FirstParagraph"/>
      </w:pPr>
      <w:r>
        <w:t xml:space="preserve">The panel is built to give one consistent, repeatable diagnostic read across a group of emerging economies: activity, financial conditions and credit vulnerability measured the same way in each, so that a conclusion can be re-checked when the data are revised.</w:t>
      </w:r>
    </w:p>
    <w:p>
      <w:pPr>
        <w:pStyle w:val="BodyText"/>
      </w:pPr>
      <w:r>
        <w:t xml:space="preserve">The natural extensions are four. First, more economies and more outcomes, including labour-market and external-account measures. Second, threshold and lagged credit effects alongside the contemporaneous estimates. Third, an out-of-sample test of the early-warning screen, with a matching threshold for the debt-service ratio. Fourth, regular written macro briefs built on the diagnostics, for which the design is in place.</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2026-10-08T22:51:20Z</dcterms:created>
  <dcterms:modified xsi:type="dcterms:W3CDTF">2026-10-08T22:51:20Z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