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How demographics and social conditions line up with projected long-run growth across eighteen emerging economies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Estimated on one frozen dataset, working-age growth (+0.25) and inequality (−0.22) point the expected way but cannot be told apart from zero in 18 economies. Only urbanisation has a link whose 95% interval excludes zero, and it is negative, a level effect. A demographic and a social factor each line up with growth, in opposite directions, and cancel in an equal-weight composite.</w:t>
            </w:r>
          </w:p>
          <w:p>
            <w:pPr>
              <w:pStyle w:val="Compact"/>
              <w:numPr>
                <w:ilvl w:val="0"/>
                <w:numId w:val="1001"/>
              </w:numPr>
            </w:pPr>
            <w:r>
              <w:rPr>
                <w:b/>
                <w:bCs/>
              </w:rPr>
              <w:t xml:space="preserve">Why it matters.</w:t>
            </w:r>
            <w:r>
              <w:t xml:space="preserve"> </w:t>
            </w:r>
            <w:r>
              <w:t xml:space="preserve">It tests the</w:t>
            </w:r>
            <w:r>
              <w:t xml:space="preserve"> </w:t>
            </w:r>
            <w:r>
              <w:t xml:space="preserve">“demographic dividend”</w:t>
            </w:r>
            <w:r>
              <w:t xml:space="preserve"> </w:t>
            </w:r>
            <w:r>
              <w:t xml:space="preserve">story against the projections themselves, and checks each early correlation against a frozen re-run, so that only relationships that hold carry the conclusions.</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weakly.</w:t>
      </w:r>
      <w:r>
        <w:t xml:space="preserve"> </w:t>
      </w:r>
      <w:r>
        <w:t xml:space="preserve">On the frozen table of 18 economies, growth of the economically active population and projected potential growth have a correlation of +0.25, with a 95% interval from −0.25 to +0.64. The sign is the one the dividend story predicts, but 18 observations cannot separate it from zero. Total population growth adds nothing beyond it: in the source table the two series differ by a constant in every economy.</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Correlation of each indicator with projected potential growth, 18 emerging economies, 2024-2044. Dots: frozen final table, with 95% intervals. Source: the project’s final 18-economy table (published population projections, long-run growth scenarios and development indicators); the author’s calculations.</w:t>
            </w:r>
          </w:p>
          <w:bookmarkEnd w:id="14"/>
        </w:tc>
      </w:tr>
    </w:tbl>
    <w:p>
      <w:pPr>
        <w:pStyle w:val="BodyText"/>
      </w:pPr>
      <w:r>
        <w:rPr>
          <w:b/>
          <w:bCs/>
        </w:rPr>
        <w:t xml:space="preserve">Inequality points the expected way, weakly.</w:t>
      </w:r>
      <w:r>
        <w:t xml:space="preserve"> </w:t>
      </w:r>
      <w:r>
        <w:t xml:space="preserve">The frozen table gives an inequality-growth correlation of −0.22, with an interval from −0.62 to +0.27, and a rank correlation of −0.08. The one link whose interval excludes zero is urbanisation, at −0.56 (−0.81 to −0.13), with literacy at −0.37 close behind. These negative signs look perverse until one notices who is in the sample: economies that are already highly urbanised and literate are the mature ones, with lower growth ceilings. These are level effects, not evidence that schooling or cities hurt growth. The note says so plainly, because a naive reading would recommend the opposite of what the development literature shows. Adding the United States to the sample moves none of the four correlations by more than 0.03.</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the lowest projected potential growth of the group.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The factors summarise their blocks unevenly: the first demographic component captures 0.63 of the variance of its six variables, the social component 0.44 of its twelve. On the frozen table the demographic factor correlates at +0.64 with projected growth (R-squared 0.40), but its loadings are dominated by population size, so it mostly says that India and China are both large and fast-growing. The social factor correlates at −0.52 (R-squared 0.27): the mature, well-served economies are projected to grow more slowly, which is convergence rather than a social drag. Because the two point in opposite directions, the equal-weight composite explains almost nothing (R-squared 0.001).</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Eighteen economies cannot confirm a dividend.</w:t>
      </w:r>
      <w:r>
        <w:t xml:space="preserve"> </w:t>
      </w:r>
      <w:r>
        <w:t xml:space="preserve">Working-age growth and inequality carry the expected signs, but neither interval excludes zero. The same working-age growth appears alongside very different projected growth, and India and South Africa sit at opposite ends of the group with similar demographic profiles.</w:t>
      </w:r>
    </w:p>
    <w:p>
      <w:pPr>
        <w:pStyle w:val="Compact"/>
        <w:numPr>
          <w:ilvl w:val="0"/>
          <w:numId w:val="1003"/>
        </w:numPr>
      </w:pPr>
      <w:r>
        <w:rPr>
          <w:b/>
          <w:bCs/>
        </w:rPr>
        <w:t xml:space="preserve">A composite can hide two signals.</w:t>
      </w:r>
      <w:r>
        <w:t xml:space="preserve"> </w:t>
      </w:r>
      <w:r>
        <w:t xml:space="preserve">The demographic and social factors each line up with projected growth, in opposite directions, and an equal-weight average cancels them. Look at the components before trusting an index.</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scope-and-next-steps"/>
    <w:p>
      <w:pPr>
        <w:pStyle w:val="Heading2"/>
      </w:pPr>
      <w:r>
        <w:t xml:space="preserve">Scope and next steps</w:t>
      </w:r>
    </w:p>
    <w:p>
      <w:pPr>
        <w:pStyle w:val="FirstParagraph"/>
      </w:pPr>
      <w:r>
        <w:t xml:space="preserve">The study is built to test the demographic-dividend argument against long-run growth projections across a cross-section of economies, on one frozen table, so that every quoted value traces to a single source. Because the projections embed demographic assumptions of their own, it reads how forecasts line up with fundamentals.</w:t>
      </w:r>
    </w:p>
    <w:p>
      <w:pPr>
        <w:pStyle w:val="BodyText"/>
      </w:pPr>
      <w:r>
        <w:t xml:space="preserve">The natural extensions are four. First, a demographic factor built from the speed and timing of population change rather than its size. Second, dependency-ratio timing as an explicit regressor, and a measure of productivity growth. Third, realised growth outcomes in place of projections, to move from how forecasts line up with fundamentals to what fundamentals cause. Fourth, a wider sample of economies, to test whether the working-age and inequality effects hold in a larger cross-section.</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Correlations, intervals and explained variance in the text are estimated on the project’s frozen final table of 18 economies, with 95% intervals from the Fisher transformation. The correlation chart shows these derived statistics, not the underlying third-party projections. The quadrant chart and the dependency-ratio paths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2026-10-08T22:52:41Z</dcterms:created>
  <dcterms:modified xsi:type="dcterms:W3CDTF">2026-10-08T22:52:41Z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How demographics and social conditions line up with projected long-run growth across eighteen emerging economies</vt:lpwstr>
  </property>
  <property fmtid="{D5CDD505-2E9C-101B-9397-08002B2CF9AE}" pid="17" name="title-block-banner">
    <vt:lpwstr>False</vt:lpwstr>
  </property>
  <property fmtid="{D5CDD505-2E9C-101B-9397-08002B2CF9AE}" pid="18" name="toc-title">
    <vt:lpwstr>Table of contents</vt:lpwstr>
  </property>
</Properties>
</file>