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 simple cross-check on employment shares is part of the validation: it catches the classic trap of mixing nominal and constant prices, which shows up as implausible sectoral growth.</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investigation is built to separate real productivity performance from measurement in Mexico’s record, using sector ratios, plausibility arguments, and tests on the capital share and the oil sector. Its attribution of roughly 70 per cent to measurement, and the corrected productivity level of about 65 per cent of the US, are reasoned judgements built from those tests.</w:t>
      </w:r>
    </w:p>
    <w:p>
      <w:pPr>
        <w:pStyle w:val="BodyText"/>
      </w:pPr>
      <w:r>
        <w:t xml:space="preserve">The natural extensions are two. First, a formal decomposition that nests the deflator channel as a parameter and attaches confidence intervals to the attribution. Second, a sector-by-sector re-pricing with detailed international price survey data in place of aggregate factors, across more countries and sectors.</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2026-10-08T23:00:08Z</dcterms:created>
  <dcterms:modified xsi:type="dcterms:W3CDTF">2026-10-08T23:00:08Z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