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explicit about what it covers.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scope-and-next-steps"/>
    <w:p>
      <w:pPr>
        <w:pStyle w:val="Heading2"/>
      </w:pPr>
      <w:r>
        <w:t xml:space="preserve">Scope and next steps</w:t>
      </w:r>
    </w:p>
    <w:p>
      <w:pPr>
        <w:pStyle w:val="FirstParagraph"/>
      </w:pPr>
      <w:r>
        <w:t xml:space="preserve">The screen is built to search a very large space of macroeconomic series for pairs that move together at particular frequencies, as a first stage that surfaces candidates for economic study. The search is stratified, so it samples the space rather than enumerating it, and long runs are protected so that a failure costs one batch, not the whole search.</w:t>
      </w:r>
    </w:p>
    <w:p>
      <w:pPr>
        <w:pStyle w:val="BodyText"/>
      </w:pPr>
      <w:r>
        <w:t xml:space="preserve">The natural extensions are two. First, a second stage for pairs of interest: stability across sub-periods, a correction for the number of pairs searched, and an economic story. Second, a published simulated benchmark on which the full screen, including its multiple-testing correction, can be demonstrated end to end.</w:t>
      </w:r>
    </w:p>
    <w:p>
      <w:pPr>
        <w:pStyle w:val="BodyText"/>
      </w:pPr>
      <w:r>
        <w:t xml:space="preserve">The source data are licensed, so the series and the ranked list of strongest pairs are not reproduced here; the results can be discussed on request.</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2026-10-08T23:02:57Z</dcterms:created>
  <dcterms:modified xsi:type="dcterms:W3CDTF">2026-10-08T23:02:57Z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