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(services less rent of shelter, and services less energy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27"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Much of the correlation that exists is seasonal, and some is trend.</w:t>
      </w:r>
      <w:r>
        <w:t xml:space="preserve"> </w:t>
      </w:r>
      <w:r>
        <w:t xml:space="preserve">Decomposing each series shows where the link lives. Correlations between the seasonal components are 0.52–0.63 for the core, core-excluding and final-demand pairs. Correlations between trend growth rates are 0.18–0.44 for the four pairs against services less rent of shelter, highest for transport and for the core-excluding measure. The trends are estimated on observed data only, with no model forecast appended beyond the sample. Coherence agrees: between seasonal factors, mean coherence is 0.51–0.70 and reaches 0.81–0.86 at the seasonal band for the pure-price pairs. In plain terms, the two sides of the economy share a calendar and, for some pairs, a slow trend. Neither is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0.57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t xml:space="preserve">The first three figures are drawn from the public price series and their stored decompositions, on observed months only (November 2009 to March 2026). The long-run growth figure uses simulated data and illustrates the method.</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US producer prices for transportation and warehousing services: not seasonally adjusted, seasonally adjusted, and the trend from the airline-model decomposition, November 2009 to March 2026. Source: BLS via FRED; the author’s decomposition.</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5633873"/>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56338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of monthly log changes for the five producer-consumer pairs, by cycle length. Dashed: the squared ordinary correlation. Dotted: the 95% threshold for coherence under no relationship. Source: BLS via FRED; the author’s calculations.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each producer-consumer pair, measured on monthly log changes and on each decomposed component. Source: BLS via FRED; the author’s decomposition and calculations.</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2635138"/>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growth of a simulated quarterly series with crisis outliers: the robust estimate against the ordinary mean, with a 95% band that tightens as data arrive (simulated data).</w:t>
            </w:r>
          </w:p>
          <w:bookmarkEnd w:id="26"/>
        </w:tc>
      </w:tr>
    </w:tbl>
    <w:bookmarkEnd w:id="27"/>
    <w:bookmarkStart w:id="28"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informative than quoting the largest value.</w:t>
      </w:r>
    </w:p>
    <w:p>
      <w:pPr>
        <w:pStyle w:val="Compact"/>
        <w:numPr>
          <w:ilvl w:val="0"/>
          <w:numId w:val="1002"/>
        </w:numPr>
      </w:pPr>
      <w:r>
        <w:rPr>
          <w:b/>
          <w:bCs/>
        </w:rPr>
        <w:t xml:space="preserve">Robust growth rates are cheap insurance.</w:t>
      </w:r>
      <w:r>
        <w:t xml:space="preserve"> </w:t>
      </w:r>
      <w:r>
        <w:t xml:space="preserve">One or two crisis quarters can shift an average growth rate by more than its sampling error, and a robust estimate with a recursive band shows how much a number can be trusted.</w:t>
      </w:r>
    </w:p>
    <w:bookmarkEnd w:id="28"/>
    <w:bookmarkStart w:id="29" w:name="scope-and-next-steps"/>
    <w:p>
      <w:pPr>
        <w:pStyle w:val="Heading2"/>
      </w:pPr>
      <w:r>
        <w:t xml:space="preserve">Scope and next steps</w:t>
      </w:r>
    </w:p>
    <w:p>
      <w:pPr>
        <w:pStyle w:val="FirstParagraph"/>
      </w:pPr>
      <w:r>
        <w:t xml:space="preserve">The methods are built to decompose price series automatically, so that thousands can be screened without inspecting each one, and to read the links between series band by band. The application to five pairs of US price series shows how a frequency-selective view tests a pass-through claim directly.</w:t>
      </w:r>
    </w:p>
    <w:p>
      <w:pPr>
        <w:pStyle w:val="BodyText"/>
      </w:pPr>
      <w:r>
        <w:t xml:space="preserve">The natural extensions are three. First, measuring the size and variance share of the frequency-selective link. Second, a forecasting experiment in which a band-limited component of producer prices predicts consumer service inflation out of sample, against a naive benchmark. Third, a tabulated set of cross-country long-run growth estimates on real data.</w:t>
      </w:r>
    </w:p>
    <w:bookmarkEnd w:id="29"/>
    <w:bookmarkStart w:id="30"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The first three figures are drawn from those public series and the stored decompositions; the long-run growth figure uses simulated data.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2026-10-08T23:03:42Z</dcterms:created>
  <dcterms:modified xsi:type="dcterms:W3CDTF">2026-10-08T23:03:42Z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501</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Reusable tools for removing seasonality, reading trends and measuring how price series move together, frequency by frequency</vt:lpwstr>
  </property>
  <property fmtid="{D5CDD505-2E9C-101B-9397-08002B2CF9AE}" pid="17" name="title-block-banner">
    <vt:lpwstr>False</vt:lpwstr>
  </property>
  <property fmtid="{D5CDD505-2E9C-101B-9397-08002B2CF9AE}" pid="18" name="toc-title">
    <vt:lpwstr>Table of contents</vt:lpwstr>
  </property>
</Properties>
</file>