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computed tactical premium is never overwritten with a sourced figure, so the results stay driven by the inputs rather than by the answer expected.</w:t>
      </w:r>
    </w:p>
    <w:bookmarkEnd w:id="24"/>
    <w:bookmarkStart w:id="25" w:name="scope-and-next-steps"/>
    <w:p>
      <w:pPr>
        <w:pStyle w:val="Heading2"/>
      </w:pPr>
      <w:r>
        <w:t xml:space="preserve">Scope and next steps</w:t>
      </w:r>
    </w:p>
    <w:p>
      <w:pPr>
        <w:pStyle w:val="FirstParagraph"/>
      </w:pPr>
      <w:r>
        <w:t xml:space="preserve">The framework is built to turn an argument about policy credibility and political risk into explicit, comparable scenario probabilities for currencies that share fundamentals but diverge, with each judgement visible as a weight or a score.</w:t>
      </w:r>
    </w:p>
    <w:p>
      <w:pPr>
        <w:pStyle w:val="BodyText"/>
      </w:pPr>
      <w:r>
        <w:t xml:space="preserve">The natural extensions are three. First, calibrated outputs for all five economies. Second, driver weights estimated on a cross-section of economies, and post-shock dynamics in the tail-regime simulation. Third, an out-of-sample test of whether the credibility score improves exchange-rate forecasts against a plain interest-parity benchmark.</w:t>
      </w:r>
    </w:p>
    <w:p>
      <w:pPr>
        <w:pStyle w:val="BodyText"/>
      </w:pPr>
      <w:r>
        <w:t xml:space="preserve">The full framework can be discussed on request.</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2026-10-13T19:51:56Z</dcterms:created>
  <dcterms:modified xsi:type="dcterms:W3CDTF">2026-10-13T19:51:56Z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