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traced mostly to the price deflators used for purchasing-power comparisons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 simple cross-check on employment shares is part of the validation: it catches the classic trap of mixing nominal and constant prices, which shows up as implausible sectoral growth.</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scope-and-next-steps"/>
    <w:p>
      <w:pPr>
        <w:pStyle w:val="Heading2"/>
      </w:pPr>
      <w:r>
        <w:t xml:space="preserve">Scope and next steps</w:t>
      </w:r>
    </w:p>
    <w:p>
      <w:pPr>
        <w:pStyle w:val="FirstParagraph"/>
      </w:pPr>
      <w:r>
        <w:t xml:space="preserve">The investigation is built to separate real productivity performance from measurement in Mexico’s record, using sector ratios, plausibility arguments, and tests on the capital share and the oil sector. Its attribution of roughly 70 per cent to measurement, and the corrected productivity level of about 65 per cent of the US, are reasoned judgements built from those tests.</w:t>
      </w:r>
    </w:p>
    <w:p>
      <w:pPr>
        <w:pStyle w:val="BodyText"/>
      </w:pPr>
      <w:r>
        <w:t xml:space="preserve">The natural extensions are two. First, a formal decomposition that nests the deflator channel as a parameter and attaches confidence intervals to the attribution. Second, a sector-by-sector re-pricing with detailed international price survey data in place of aggregate factors, across more countries and sectors.</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2026-10-13T20:01:19Z</dcterms:created>
  <dcterms:modified xsi:type="dcterms:W3CDTF">2026-10-13T20:01:19Z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traced mostly to the price deflators used for purchasing-power comparisons</vt:lpwstr>
  </property>
  <property fmtid="{D5CDD505-2E9C-101B-9397-08002B2CF9AE}" pid="17" name="title-block-banner">
    <vt:lpwstr>False</vt:lpwstr>
  </property>
  <property fmtid="{D5CDD505-2E9C-101B-9397-08002B2CF9AE}" pid="18" name="toc-title">
    <vt:lpwstr>Table of contents</vt:lpwstr>
  </property>
</Properties>
</file>