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engine is built to forecast inflation across economies by combining several methods, with forecasts chained into an index so that the monthly and annual views cannot disagree. Back-test runs for 2024–2025 are stored for each economy; the figures here are simulated and show the method’s logic.</w:t>
      </w:r>
    </w:p>
    <w:p>
      <w:pPr>
        <w:pStyle w:val="BodyText"/>
      </w:pPr>
      <w:r>
        <w:t xml:space="preserve">The natural extensions are three. First, a per-economy accuracy table from the stored back-test runs, against the naive benchmark by horizon. Second, a UK panel. Third, a test of whether the combination weights stay stable across forecast origins, and a separate evaluation of calibrated probability bands.</w:t>
      </w:r>
    </w:p>
    <w:p>
      <w:pPr>
        <w:pStyle w:val="BodyText"/>
      </w:pPr>
      <w:r>
        <w:t xml:space="preserve">The engine can be discussed on request.</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2026-10-13T20:02:50Z</dcterms:created>
  <dcterms:modified xsi:type="dcterms:W3CDTF">2026-10-13T20:02:50Z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