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state their scope: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right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scope-and-next-steps"/>
    <w:p>
      <w:pPr>
        <w:pStyle w:val="Heading2"/>
      </w:pPr>
      <w:r>
        <w:t xml:space="preserve">Scope and next steps</w:t>
      </w:r>
    </w:p>
    <w:p>
      <w:pPr>
        <w:pStyle w:val="FirstParagraph"/>
      </w:pPr>
      <w:r>
        <w:t xml:space="preserve">The analysis is built to separate structural from cyclical divergence in Central European industry, combining break tests, a policy-rule check, margin and real-rate measures, and bond pricing.</w:t>
      </w:r>
    </w:p>
    <w:p>
      <w:pPr>
        <w:pStyle w:val="BodyText"/>
      </w:pPr>
      <w:r>
        <w:t xml:space="preserve">The natural extensions are three. First, refreshing every series to a common end date and re-running the break tests as the post-2022 sample lengthens toward two full cycles. Second, a sensitivity band around the neutral rate in the policy-rule check. Third, firm-level margin data and survey-based inflation expectations, to sharpen the profit and real-rate readings.</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2026-10-08T17:05:17Z</dcterms:created>
  <dcterms:modified xsi:type="dcterms:W3CDTF">2026-10-08T17:05:17Z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