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 notes are built as a derivation library: each model is derived line by line, with its stability conditions and worked examples, so that it can be audited, taught and used in a briefing. The coefficients in the worked examples are textbook-style calibrations chosen to make the algebra concrete.</w:t>
      </w:r>
    </w:p>
    <w:p>
      <w:pPr>
        <w:pStyle w:val="BodyText"/>
      </w:pPr>
      <w:r>
        <w:t xml:space="preserve">The natural extensions are three. First, estimating the quarterly system on real data. Second, testing the autoregressive projection form against out-of-sample forecasts. Third, extending the three-equation system to an open economy with several shocks, and the debt identity with a stochastic term and a fiscal reaction function.</w:t>
      </w:r>
    </w:p>
    <w:p>
      <w:pPr>
        <w:pStyle w:val="BodyText"/>
      </w:pPr>
      <w:r>
        <w:t xml:space="preserve">Worked derivations can be discussed on request.</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2026-10-08T17:07:58Z</dcterms:created>
  <dcterms:modified xsi:type="dcterms:W3CDTF">2026-10-08T17:07:58Z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