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rather than domestic policy rates, is the robust driver of industrial output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An earlier estimation with a very large instrument set produced a pathological over-identification test and a spurious significant policy-rate coefficient. Using a small, pooled instrument set restored a test that does not reject. Results were also re-estimated after correcting one economy’s inflation series, which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and an earlier</w:t>
      </w:r>
      <w:r>
        <w:t xml:space="preserve"> </w:t>
      </w:r>
      <w:r>
        <w:t xml:space="preserve">“significant”</w:t>
      </w:r>
      <w:r>
        <w:t xml:space="preserve"> </w:t>
      </w:r>
      <w:r>
        <w:t xml:space="preserve">effect did not.</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scope-and-next-steps"/>
    <w:p>
      <w:pPr>
        <w:pStyle w:val="Heading2"/>
      </w:pPr>
      <w:r>
        <w:t xml:space="preserve">Scope and next steps</w:t>
      </w:r>
    </w:p>
    <w:p>
      <w:pPr>
        <w:pStyle w:val="FirstParagraph"/>
      </w:pPr>
      <w:r>
        <w:t xml:space="preserve">The panel is built to separate a direct, contemporaneous effect of the policy rate on industrial output from global conditions, using fixed-effects and instrumental-variable estimators with the instrument set tested for validity.</w:t>
      </w:r>
    </w:p>
    <w:p>
      <w:pPr>
        <w:pStyle w:val="BodyText"/>
      </w:pPr>
      <w:r>
        <w:t xml:space="preserve">The natural extensions are three. First, a larger panel of economies and broader activity measures. Second, separate pre- and post-crisis samples, and the channels a direct effect does not capture: expectations, forward guidance and longer lags. Third, an out-of-sample test of the lead carried by the spread level.</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2026-10-08T17:08:38Z</dcterms:created>
  <dcterms:modified xsi:type="dcterms:W3CDTF">2026-10-08T17:08:38Z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rather than domestic policy rates, is the robust driver of industrial output</vt:lpwstr>
  </property>
  <property fmtid="{D5CDD505-2E9C-101B-9397-08002B2CF9AE}" pid="16" name="title-block-banner">
    <vt:lpwstr>False</vt:lpwstr>
  </property>
  <property fmtid="{D5CDD505-2E9C-101B-9397-08002B2CF9AE}" pid="17" name="toc-title">
    <vt:lpwstr>Table of contents</vt:lpwstr>
  </property>
</Properties>
</file>