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The method is built to find regional price links in frequency terms: a screen ranks pairs of series by the coherence of their surprises, and a policy timeline frames what the strongest regional links could mean.</w:t>
      </w:r>
    </w:p>
    <w:p>
      <w:pPr>
        <w:pStyle w:val="BodyText"/>
      </w:pPr>
      <w:r>
        <w:t xml:space="preserve">The natural extensions are three. First, phase and gain by frequency band for the four northern-border pairs, to show which side leads and by how much. Second, a sample split at 2017, which would turn the liberalisation reading into a formal test. Third, a check of how the US city motor-fuel index and Mexico’s north-west gasoline index are constructed, the strongest open lead from the screen.</w:t>
      </w:r>
    </w:p>
    <w:p>
      <w:pPr>
        <w:pStyle w:val="BodyText"/>
      </w:pPr>
      <w:r>
        <w:t xml:space="preserve">The full screen and its results can be discussed on request.</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2026-10-08T17:10:00Z</dcterms:created>
  <dcterms:modified xsi:type="dcterms:W3CDTF">2026-10-08T17:10:00Z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