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prototype is built to nowcast quarterly activity from monthly indicators as they are published, keeping the timing of each release, with a shock module that adjusts after sudden events while keeping each prediction bounded. It is developed on simulated data, where the true path is known.</w:t>
      </w:r>
    </w:p>
    <w:p>
      <w:pPr>
        <w:pStyle w:val="BodyText"/>
      </w:pPr>
      <w:r>
        <w:t xml:space="preserve">The natural extensions are three. First, a real-time vintage dataset for one economy and a pseudo-real-time test, by information vintage, against a simple benchmark. Second, training the shock module on genuine event features and reporting its cross-validated contribution to the nowcast. Third, a revision model that treats early releases as noisy measurements of later ones, together with publication-date calendars.</w:t>
      </w:r>
    </w:p>
    <w:p>
      <w:pPr>
        <w:pStyle w:val="BodyText"/>
      </w:pPr>
      <w:r>
        <w:t xml:space="preserve">The design can be discussed on request.</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2026-10-08T17:14:57Z</dcterms:created>
  <dcterms:modified xsi:type="dcterms:W3CDTF">2026-10-08T17:14:57Z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