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explicit about its coverage.</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scope-and-next-steps"/>
    <w:p>
      <w:pPr>
        <w:pStyle w:val="Heading2"/>
      </w:pPr>
      <w:r>
        <w:t xml:space="preserve">Scope and next steps</w:t>
      </w:r>
    </w:p>
    <w:p>
      <w:pPr>
        <w:pStyle w:val="FirstParagraph"/>
      </w:pPr>
      <w:r>
        <w:t xml:space="preserve">The feed is built as a clean data layer for US consumer prices: component prices and expenditure weights from the official source, carried forward month by month so that each component’s contribution to the headline index can be read directly, with checks that stop a shortened or gapped history from passing unnoticed. Its figures are simulated and illustrate the construction.</w:t>
      </w:r>
    </w:p>
    <w:p>
      <w:pPr>
        <w:pStyle w:val="BodyText"/>
      </w:pPr>
      <w:r>
        <w:t xml:space="preserve">The natural extensions are three. First, a union of all weight vintages for fuller historical coverage, and mappings for other price measures. Second, splitting the small reconstruction residual into coverage and rounding parts. Third, linking the contributions to component-level forecasting models, so that bottom-up and top-down views of inflation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2026-10-08T17:16:21Z</dcterms:created>
  <dcterms:modified xsi:type="dcterms:W3CDTF">2026-10-08T17:16:21Z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