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uses simulated data and illustrates the method.</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scope-and-next-steps"/>
    <w:p>
      <w:pPr>
        <w:pStyle w:val="Heading2"/>
      </w:pPr>
      <w:r>
        <w:t xml:space="preserve">Scope and next steps</w:t>
      </w:r>
    </w:p>
    <w:p>
      <w:pPr>
        <w:pStyle w:val="FirstParagraph"/>
      </w:pPr>
      <w:r>
        <w:t xml:space="preserve">The methods are built to decompose price series automatically, so that thousands can be screened without inspecting each one, and to read the links between series band by band. The application to five pairs of US price series shows how a frequency-selective view tests a pass-through claim directly.</w:t>
      </w:r>
    </w:p>
    <w:p>
      <w:pPr>
        <w:pStyle w:val="BodyText"/>
      </w:pPr>
      <w:r>
        <w:t xml:space="preserve">The natural extensions are three. First, measuring the size and variance share of the frequency-selective link. Second, a forecasting experiment in which a band-limited component of producer prices predicts consumer service inflation out of sample, against a naive benchmark. Third, a tabulated set of cross-country long-run growth estimates on real data.</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2026-10-08T17:17:46Z</dcterms:created>
  <dcterms:modified xsi:type="dcterms:W3CDTF">2026-10-08T17:17:46Z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