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scope-and-next-steps"/>
    <w:p>
      <w:pPr>
        <w:pStyle w:val="Heading2"/>
      </w:pPr>
      <w:r>
        <w:t xml:space="preserve">Scope and next steps</w:t>
      </w:r>
    </w:p>
    <w:p>
      <w:pPr>
        <w:pStyle w:val="FirstParagraph"/>
      </w:pPr>
      <w:r>
        <w:t xml:space="preserve">The workflow is built to make machine-assisted model building traceable end to end: each number carries its source, its age and the code that produced it, and the model’s filter is checked on simulated data, where the true state is known.</w:t>
      </w:r>
    </w:p>
    <w:p>
      <w:pPr>
        <w:pStyle w:val="BodyText"/>
      </w:pPr>
      <w:r>
        <w:t xml:space="preserve">The natural extensions are three. First, solving the full forward-looking model with rational expectations, a complete fiscal debt block and the political-risk adjustment inside the policy rule, and confirming that it reduces to the current core in the appropriate limit. Second, running the same logged workflow on real data and comparing its audit trail with the simulated one. Third, turning the checks into an automated gate that stops any run whose expected outputs or provenance records are missing.</w:t>
      </w:r>
    </w:p>
    <w:p>
      <w:pPr>
        <w:pStyle w:val="BodyText"/>
      </w:pPr>
      <w:r>
        <w:t xml:space="preserve">The full protocol and worked examples can be discussed on request.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2026-10-20T22:41:27Z</dcterms:created>
  <dcterms:modified xsi:type="dcterms:W3CDTF">2026-10-20T22:41:27Z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