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points the expected way, weakly.</w:t>
      </w:r>
      <w:r>
        <w:t xml:space="preserve"> </w:t>
      </w:r>
      <w:r>
        <w:t xml:space="preserve">The frozen table gives an inequality-growth correlation of −0.22, with an interval from −0.62 to +0.27, and a rank correlation of −0.08.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2026-10-20T22:44:10Z</dcterms:created>
  <dcterms:modified xsi:type="dcterms:W3CDTF">2026-10-20T22:44:10Z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