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scaled error in each of the twelve tests, 181 components: the method chosen for each component on the six older tests (left of the dashed line) against the simple average, then both judged on the six newer tests. Source: October 2025 re-run of the comparison, with the selection rule and split fixed before the test was run; author’s calculations.</w:t>
            </w:r>
          </w:p>
          <w:bookmarkEnd w:id="27"/>
        </w:tc>
      </w:tr>
    </w:tbl>
    <w:p>
      <w:pPr>
        <w:pStyle w:val="BodyText"/>
      </w:pPr>
      <w:r>
        <w:rPr>
          <w:b/>
          <w:bCs/>
        </w:rPr>
        <w:t xml:space="preserve">Insight 1, measured.</w:t>
      </w:r>
      <w:r>
        <w:t xml:space="preserve"> </w:t>
      </w:r>
      <w:r>
        <w:t xml:space="preserve">Choosing each component’s method on the six older tests and judging it on the six newer ones tests the insight directly, with the split and the rule fixed in advance. On the tests used for the choice, the chosen methods’ mean scaled error was about 0.14 below the average’s. On the six held-out tests that lead was gone: the chosen methods’ error was about 0.03 above the average’s, and the average was the more accurate for 102 of 181 components and in four of the six tests (sign test over components, p = 0.10). Part of a first-round win is luck, and the average does not need to guess which part.</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over a longer record.</w:t>
      </w:r>
      <w:r>
        <w:t xml:space="preserve"> </w:t>
      </w:r>
      <w:r>
        <w:t xml:space="preserve">On six held-out tests the chosen methods’ first-round lead disappeared. A longer run of tests, and other ways of choosing, would show how large and how systematic the average’s out-of-sample margin is.</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second and fourth figures show measured results; the out-of-sample test in the fourth was pre-registered (October 2026, on the stored scores). The third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2026-10-20T22:49:12Z</dcterms:created>
  <dcterms:modified xsi:type="dcterms:W3CDTF">2026-10-20T22:49:12Z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104</vt:lpwstr>
  </property>
  <property fmtid="{D5CDD505-2E9C-101B-9397-08002B2CF9AE}" pid="13" name="period">
    <vt:lpwstr>2025</vt:lpwstr>
  </property>
  <property fmtid="{D5CDD505-2E9C-101B-9397-08002B2CF9AE}" pid="14" name="status">
    <vt:lpwstr>complete</vt:lpwstr>
  </property>
  <property fmtid="{D5CDD505-2E9C-101B-9397-08002B2CF9AE}" pid="15"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6" name="title-block-banner">
    <vt:lpwstr>False</vt:lpwstr>
  </property>
  <property fmtid="{D5CDD505-2E9C-101B-9397-08002B2CF9AE}" pid="17" name="toc-title">
    <vt:lpwstr>Table of contents</vt:lpwstr>
  </property>
</Properties>
</file>