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 Applied to 31 European economies over 1996–2026, the robust growth estimate sits above the ordinary mean in 27, because crisis falls outweigh the rebounds that followed.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31"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The trends are estimated on observed data only, with no model forecast appended beyond the sample.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rPr>
          <w:b/>
          <w:bCs/>
        </w:rPr>
        <w:t xml:space="preserve">Long-run growth across European economies.</w:t>
      </w:r>
      <w:r>
        <w:t xml:space="preserve"> </w:t>
      </w:r>
      <w:r>
        <w:t xml:space="preserve">The growth method was run on quarterly real GDP for 31 European economies, every country with an unbroken quarterly series from 1996 to mid-2026, with the EU27 aggregate as a reference. All economies share one window, 1996-Q2 to 2026-Q2 (121 quarters), and the summary statistics were fixed before any estimate was computed. The robust estimate is above the ordinary mean in 27 of the 31, because the outlying quarters are dominated by the falls of 2008–09 and 2020, which drag the mean down by more than the rebounds that followed lift it. The gap exceeds one standard error of the mean in four economies (Bulgaria, Estonia, Greece and Romania) and lies outside the 95% band in none, and the two estimators rank the economies almost identically (rank correlation 0.93). Ireland runs the other way (robust 4.1% against a mean of 5.4%), because its largest outliers are rises driven by multinational accounting. The slow component of growth shows at least one structural break in 16 of the 31. In 12 of those 16 the most recent regime grows more slowly than the 30-year average, in ten of them after a break between late 2006 and 2008. The exceptions are Greece, Italy, Portugal and Slovenia, whose latest regime begins with the post-2013 or post-2020 recovery. Counting every economy, latest-regime growth is below the window mean in 25 of 31. On each economy’s full available span, the robust estimate stays above the mean in 26 of 31, the same four economies exceed one standard error, and the rank correlation with the common-window ranking is 0.98.</w:t>
      </w:r>
    </w:p>
    <w:p>
      <w:pPr>
        <w:pStyle w:val="BodyText"/>
      </w:pPr>
      <w:r>
        <w:t xml:space="preserve">The first three figures are drawn from the public price series and their stored decompositions, on observed months only (November 2009 to March 2026). The two long-run growth figures are drawn from Eurostat quarterly national accounts.</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5783810"/>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5783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real GDP growth, 1996-Q2 to 2026-Q2, annualised: the robust estimate (dot) against the ordinary mean with its 95% band (bar), ordered by the robust estimate. Ireland is affected by multinational accounting. Source: Eurostat quarterly national accounts; the author’s calculations.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steady-de"/>
          <w:p>
            <w:pPr>
              <w:pStyle w:val="Compact"/>
              <w:jc w:val="center"/>
            </w:pPr>
            <w:r>
              <w:drawing>
                <wp:inline>
                  <wp:extent cx="5334000" cy="2635138"/>
                  <wp:effectExtent b="0" l="0" r="0" t="0"/>
                  <wp:docPr descr="" title="" id="28" name="Picture"/>
                  <a:graphic>
                    <a:graphicData uri="http://schemas.openxmlformats.org/drawingml/2006/picture">
                      <pic:pic>
                        <pic:nvPicPr>
                          <pic:cNvPr descr="index_files/figure-docx/fig-steady-de-output-1.png" id="29" name="Picture"/>
                          <pic:cNvPicPr>
                            <a:picLocks noChangeArrowheads="1" noChangeAspect="1"/>
                          </pic:cNvPicPr>
                        </pic:nvPicPr>
                        <pic:blipFill>
                          <a:blip r:embed="rId27"/>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Germany: the long-run growth estimate as each quarter of data arrives, with its 95% band, 1997-Q2 to 2026-Q2 (estimates on fewer than five quarters of data are omitted). Source: Eurostat quarterly national accounts; the author’s calculations.</w:t>
            </w:r>
          </w:p>
          <w:bookmarkEnd w:id="30"/>
        </w:tc>
      </w:tr>
    </w:tbl>
    <w:bookmarkEnd w:id="31"/>
    <w:bookmarkStart w:id="32"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informative than quoting the largest value.</w:t>
      </w:r>
    </w:p>
    <w:p>
      <w:pPr>
        <w:pStyle w:val="Compact"/>
        <w:numPr>
          <w:ilvl w:val="0"/>
          <w:numId w:val="1002"/>
        </w:numPr>
      </w:pPr>
      <w:r>
        <w:rPr>
          <w:b/>
          <w:bCs/>
        </w:rPr>
        <w:t xml:space="preserve">Robust growth rates are cheap insurance.</w:t>
      </w:r>
      <w:r>
        <w:t xml:space="preserve"> </w:t>
      </w:r>
      <w:r>
        <w:t xml:space="preserve">Across 31 European economies, crisis quarters pull the average growth rate below the typical quarter in 27, by more than one standard error in four. A robust estimate with a recursive band shows how much a long-run number can be trusted, and a break search shows whether the long run has itself moved.</w:t>
      </w:r>
    </w:p>
    <w:bookmarkEnd w:id="32"/>
    <w:bookmarkStart w:id="33" w:name="scope-and-next-steps"/>
    <w:p>
      <w:pPr>
        <w:pStyle w:val="Heading2"/>
      </w:pPr>
      <w:r>
        <w:t xml:space="preserve">Scope and next steps</w:t>
      </w:r>
    </w:p>
    <w:p>
      <w:pPr>
        <w:pStyle w:val="FirstParagraph"/>
      </w:pPr>
      <w:r>
        <w:t xml:space="preserve">The methods are built to decompose price series automatically, so that thousands can be screened without inspecting each one, and to read the links between series band by band. The application to five pairs of US price series shows how a frequency-selective view tests a pass-through claim directly.</w:t>
      </w:r>
    </w:p>
    <w:p>
      <w:pPr>
        <w:pStyle w:val="BodyText"/>
      </w:pPr>
      <w:r>
        <w:t xml:space="preserve">The natural extensions are three. First, measuring the size and variance share of the frequency-selective link. Second, a forecasting experiment in which a band-limited component of producer prices predicts consumer service inflation out of sample, against a naive benchmark. Third, extending the cross-country growth estimates to output per head and to bands that allow for autocorrelation in quarterly growth. These estimates describe total real GDP on current data with conventional standard errors, not potential output.</w:t>
      </w:r>
    </w:p>
    <w:bookmarkEnd w:id="33"/>
    <w:bookmarkStart w:id="34"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figures use Eurostat quarterly national accounts: GDP in chain-linked volumes, seasonally and calendar adjusted, for 31 European economies and the EU27, in the release of 9 October 2026.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7" Target="media/rId27.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2026-10-20T22:57:40Z</dcterms:created>
  <dcterms:modified xsi:type="dcterms:W3CDTF">2026-10-20T22:57:40Z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501</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Reusable tools for removing seasonality, reading trends and measuring how price series move together, frequency by frequency</vt:lpwstr>
  </property>
  <property fmtid="{D5CDD505-2E9C-101B-9397-08002B2CF9AE}" pid="16" name="title-block-banner">
    <vt:lpwstr>False</vt:lpwstr>
  </property>
  <property fmtid="{D5CDD505-2E9C-101B-9397-08002B2CF9AE}" pid="17" name="toc-title">
    <vt:lpwstr>Table of contents</vt:lpwstr>
  </property>
</Properties>
</file>