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is built as a pre-registered template: one family of rules on one asset at daily frequency, with the rule, the prior, the data substitutions and the out-of-scope variants written down in advance, so that the result cannot be reinterpreted after the fact.</w:t>
      </w:r>
    </w:p>
    <w:p>
      <w:pPr>
        <w:pStyle w:val="BodyText"/>
      </w:pPr>
      <w:r>
        <w:t xml:space="preserve">The natural extensions are two. First, applying the same template to other candidate signals, so that the number of trials is tracked across a whole research programme and not only within one test. Second, examining low-frequency relationships in levels, where the original motivation lives, to the same standard.</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2026-10-20T22:59:20Z</dcterms:created>
  <dcterms:modified xsi:type="dcterms:W3CDTF">2026-10-20T22:59:20Z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