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The monitoring framework is built for fast, falsifiable calls: indicators grouped by channel into five families, each call tied to a swing factor that can be observed soon, and the reasoning behind each call written down so it can be checked against what followed.</w:t>
      </w:r>
    </w:p>
    <w:p>
      <w:pPr>
        <w:pStyle w:val="BodyText"/>
      </w:pPr>
      <w:r>
        <w:t xml:space="preserve">The natural extensions are two. First, calibration on a panel of past episodes, estimating how much each family adds to the probability of financing stress and whether the joint signal of thin reserves, short maturities and a weak current account beats any single indicator. Second, testing the cross-country decomposition against subsequent policy decisions, to measure the predictive value of its signs and swing factors.</w:t>
      </w:r>
    </w:p>
    <w:p>
      <w:pPr>
        <w:pStyle w:val="BodyText"/>
      </w:pPr>
      <w:r>
        <w:t xml:space="preserve">The maps and notes behind individual calls can be discussed on request.</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2026-10-20T18:53:37Z</dcterms:created>
  <dcterms:modified xsi:type="dcterms:W3CDTF">2026-10-20T18:53:37Z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