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estimated on public data. Monthly changes in core PCE prices are related to monthly changes in a producer-price measure built for personal consumption, excluding food, energy and trade services, in the same month and in each of the six months before. The specification was fixed before the first estimate.</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Producer prices and core PCE, by lag. Coefficients on the monthly change in producer prices for personal consumption (excluding food, energy and trade services) in the same month and in each of the six months before, with 90% intervals; monthly, November 2014 to August 2026, Newey-West errors. Source: BLS producer price indexes and BEA personal consumption expenditures prices (public); the author’s estimates (2026).</w:t>
            </w:r>
          </w:p>
          <w:bookmarkEnd w:id="22"/>
        </w:tc>
      </w:tr>
    </w:tbl>
    <w:p>
      <w:pPr>
        <w:pStyle w:val="BodyText"/>
      </w:pPr>
      <w:r>
        <w:t xml:space="preserve">The profile has a clear shape. The largest single response comes in the same month: a one-point rise in producer-price inflation goes with about a quarter of a point on core PCE inflation that month. That is the part a forecaster can use before the consumption figure is published, because the producer-price release comes first. The response continues over the following months, and summed over seven months it reaches about 0.8 of a point (standard error 0.12), so most of a producer-price movement is matched in core PCE within about half a year. Leaving out the pandemic months gives the same total. Once the persistence of core PCE itself is allowed for, the same-month response stays, and most of the later months’ response is accounted for by core inflation carrying its own momentum. The link is therefore a timely signal at the release and a slower one through the persistence of core prices. It is an association in the data, not the rebuilt system’s own internal weights.</w:t>
      </w:r>
    </w:p>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Transparent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scope-and-next-steps"/>
    <w:p>
      <w:pPr>
        <w:pStyle w:val="Heading2"/>
      </w:pPr>
      <w:r>
        <w:t xml:space="preserve">Scope and next steps</w:t>
      </w:r>
    </w:p>
    <w:p>
      <w:pPr>
        <w:pStyle w:val="FirstParagraph"/>
      </w:pPr>
      <w:r>
        <w:t xml:space="preserve">The system is built to forecast US core inflation from its components up, so that each forecast explains where a surprise comes from. Scored over twelve months against four bank forecasters and the survey consensus, its accuracy sits among the banks’ and close to the consensus median.</w:t>
      </w:r>
    </w:p>
    <w:p>
      <w:pPr>
        <w:pStyle w:val="BodyText"/>
      </w:pPr>
      <w:r>
        <w:t xml:space="preserve">The natural extensions are three. First, a longer scored history, with formal tests of equal predictive accuracy against the consensus. Second, scoring by category, to show which components the system forecasts best and where a pooled average should take over. Third, testing the system through periods of sharp relative-price moves, such as a commodity shock.</w:t>
      </w:r>
    </w:p>
    <w:p>
      <w:pPr>
        <w:pStyle w:val="BodyText"/>
      </w:pPr>
      <w:r>
        <w:t xml:space="preserve">The full comparison can be discussed on request.</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The first two figures are simulated and illustrate the method and the scoring layout. The producer-price figure shows the project’s own estimates on public BLS and BEA series, retrieved in October 2026.</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2026-10-20T19:05:23Z</dcterms:created>
  <dcterms:modified xsi:type="dcterms:W3CDTF">2026-10-20T19:05:23Z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