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40"/>
        </w:rPr>
        <w:t>THE FOUNDING CRIME</w:t>
      </w:r>
    </w:p>
    <w:p>
      <w:pPr>
        <w:spacing w:before="0" w:after="40"/>
        <w:jc w:val="center"/>
      </w:pPr>
      <w:r>
        <w:rPr>
          <w:rFonts w:ascii="Arial" w:hAnsi="Arial"/>
          <w:b w:val="0"/>
          <w:i/>
          <w:color w:val="222244"/>
          <w:sz w:val="22"/>
        </w:rPr>
        <w:t>A Jurisprudential Indictment of the American Legal System</w:t>
      </w:r>
    </w:p>
    <w:p>
      <w:pPr>
        <w:spacing w:before="120" w:after="120"/>
        <w:jc w:val="center"/>
        <w:pBdr>
          <w:bottom w:val="single" w:sz="10" w:space="1" w:color="1a1a2e"/>
        </w:pBdr>
      </w:pPr>
    </w:p>
    <w:p>
      <w:pPr>
        <w:spacing w:before="80" w:after="20"/>
        <w:jc w:val="center"/>
      </w:pPr>
      <w:r>
        <w:rPr>
          <w:rFonts w:ascii="Arial" w:hAnsi="Arial"/>
          <w:b w:val="0"/>
          <w:i/>
          <w:color w:val="222244"/>
          <w:sz w:val="20"/>
        </w:rPr>
        <w:t>Every legal stance the court has taken has been as an agent</w:t>
      </w:r>
    </w:p>
    <w:p>
      <w:pPr>
        <w:spacing w:before="0" w:after="20"/>
        <w:jc w:val="center"/>
      </w:pPr>
      <w:r>
        <w:rPr>
          <w:rFonts w:ascii="Arial" w:hAnsi="Arial"/>
          <w:b w:val="0"/>
          <w:i/>
          <w:color w:val="222244"/>
          <w:sz w:val="20"/>
        </w:rPr>
        <w:t>of a criminal enterprise. The US government has never answered</w:t>
      </w:r>
    </w:p>
    <w:p>
      <w:pPr>
        <w:spacing w:before="0" w:after="120"/>
        <w:jc w:val="center"/>
      </w:pPr>
      <w:r>
        <w:rPr>
          <w:rFonts w:ascii="Arial" w:hAnsi="Arial"/>
          <w:b w:val="0"/>
          <w:i/>
          <w:color w:val="222244"/>
          <w:sz w:val="20"/>
        </w:rPr>
        <w:t>for these crimes and continues enforcement of them to date.</w:t>
      </w:r>
    </w:p>
    <w:p>
      <w:pPr>
        <w:spacing w:before="40" w:after="8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Capstone Document of the Odyssey-1 System</w:t>
      </w:r>
    </w:p>
    <w:p>
      <w:pPr>
        <w:spacing w:before="0" w:after="160"/>
        <w:jc w:val="center"/>
      </w:pPr>
      <w:r>
        <w:rPr>
          <w:rFonts w:ascii="Arial" w:hAnsi="Arial"/>
          <w:b w:val="0"/>
          <w:i/>
          <w:color w:val="555577"/>
          <w:sz w:val="18"/>
        </w:rPr>
        <w:t>Companion to the Sovereign Self Legal Defense Series and The Counter-Canon</w:t>
      </w:r>
    </w:p>
    <w:p>
      <w:r>
        <w:br w:type="page"/>
      </w:r>
    </w:p>
    <w:p>
      <w:pPr>
        <w:spacing w:before="0" w:after="120"/>
        <w:jc w:val="center"/>
      </w:pPr>
      <w:r>
        <w:rPr>
          <w:rFonts w:ascii="Arial" w:hAnsi="Arial"/>
          <w:b/>
          <w:i w:val="0"/>
          <w:color w:val="1A1A2E"/>
          <w:sz w:val="22"/>
        </w:rPr>
        <w:t>PREAMBLE: THE STANDARD OF PROOF</w:t>
      </w:r>
    </w:p>
    <w:p>
      <w:pPr>
        <w:spacing w:before="0" w:after="120"/>
        <w:jc w:val="both"/>
      </w:pPr>
      <w:r>
        <w:rPr>
          <w:rFonts w:ascii="Arial" w:hAnsi="Arial"/>
          <w:b w:val="0"/>
          <w:i w:val="0"/>
          <w:color w:val="000000"/>
          <w:sz w:val="21"/>
        </w:rPr>
        <w:t>This Treatise applies the American legal system's own evidentiary standards to the American legal system itself. Every count is proven by documentary evidence drawn from the system's own records: statutes enacted by Congress, decisions issued by federal courts, constitutional text ratified by the states, financial filings submitted to public agencies, historical records preserved in national archives, and the system's own acknowledgments of its failures in legislative apologies, judicial admissions, and official historical findings.</w:t>
      </w:r>
    </w:p>
    <w:p>
      <w:pPr>
        <w:spacing w:before="0" w:after="120"/>
        <w:jc w:val="both"/>
      </w:pPr>
      <w:r>
        <w:rPr>
          <w:rFonts w:ascii="Arial" w:hAnsi="Arial"/>
          <w:b w:val="0"/>
          <w:i w:val="0"/>
          <w:color w:val="000000"/>
          <w:sz w:val="21"/>
        </w:rPr>
        <w:t>This is not external criticism of the American legal system. It is the system examined by its own rules, measured against its own stated principles, and found — on its own evidence — to be a criminal enterprise that has operated continuously from its founding to the present day without accountability, without remedy, and without genuine correction.</w:t>
      </w:r>
    </w:p>
    <w:p>
      <w:pPr>
        <w:spacing w:before="0" w:after="160"/>
        <w:jc w:val="both"/>
      </w:pPr>
      <w:r>
        <w:rPr>
          <w:rFonts w:ascii="Arial" w:hAnsi="Arial"/>
          <w:b w:val="0"/>
          <w:i/>
          <w:color w:val="222244"/>
          <w:sz w:val="21"/>
        </w:rPr>
        <w:t>The standard applied here is the standard the system applies to everyone it governs: proof by the weight of the evidence, drawn from documented sources, establishing each element of each count beyond reasonable dispute. The system that demands this standard of proof from the living beings it governs cannot escape its application to itself.</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Preamble: The Standard of Proof</w:t>
      </w:r>
    </w:p>
    <w:p>
      <w:pPr>
        <w:spacing w:before="40" w:after="40"/>
        <w:ind w:left="288"/>
        <w:jc w:val="left"/>
      </w:pPr>
      <w:r>
        <w:rPr>
          <w:rFonts w:ascii="Arial" w:hAnsi="Arial"/>
          <w:b w:val="0"/>
          <w:i w:val="0"/>
          <w:color w:val="000000"/>
          <w:sz w:val="21"/>
        </w:rPr>
        <w:t>Count One: The Founding Crime — Treason and Illegitimate Origin</w:t>
      </w:r>
    </w:p>
    <w:p>
      <w:pPr>
        <w:spacing w:before="40" w:after="40"/>
        <w:ind w:left="288"/>
        <w:jc w:val="left"/>
      </w:pPr>
      <w:r>
        <w:rPr>
          <w:rFonts w:ascii="Arial" w:hAnsi="Arial"/>
          <w:b w:val="0"/>
          <w:i w:val="0"/>
          <w:color w:val="000000"/>
          <w:sz w:val="21"/>
        </w:rPr>
        <w:t>Count Two: The Criminal Charter — The Constitution as Enterprise Document</w:t>
      </w:r>
    </w:p>
    <w:p>
      <w:pPr>
        <w:spacing w:before="40" w:after="40"/>
        <w:ind w:left="288"/>
        <w:jc w:val="left"/>
      </w:pPr>
      <w:r>
        <w:rPr>
          <w:rFonts w:ascii="Arial" w:hAnsi="Arial"/>
          <w:b w:val="0"/>
          <w:i w:val="0"/>
          <w:color w:val="000000"/>
          <w:sz w:val="21"/>
        </w:rPr>
        <w:t>Count Three: The Maritime Infrastructure — Admiralty and the Commerce of Slavery</w:t>
      </w:r>
    </w:p>
    <w:p>
      <w:pPr>
        <w:spacing w:before="40" w:after="40"/>
        <w:ind w:left="288"/>
        <w:jc w:val="left"/>
      </w:pPr>
      <w:r>
        <w:rPr>
          <w:rFonts w:ascii="Arial" w:hAnsi="Arial"/>
          <w:b w:val="0"/>
          <w:i w:val="0"/>
          <w:color w:val="000000"/>
          <w:sz w:val="21"/>
        </w:rPr>
        <w:t>Count Four: The Corrupted Correction — The 13th and 14th Amendments Dismantled</w:t>
      </w:r>
    </w:p>
    <w:p>
      <w:pPr>
        <w:spacing w:before="40" w:after="40"/>
        <w:ind w:left="288"/>
        <w:jc w:val="left"/>
      </w:pPr>
      <w:r>
        <w:rPr>
          <w:rFonts w:ascii="Arial" w:hAnsi="Arial"/>
          <w:b w:val="0"/>
          <w:i w:val="0"/>
          <w:color w:val="000000"/>
          <w:sz w:val="21"/>
        </w:rPr>
        <w:t>Count Five: The Commercial Tribunal — Courts as Financial Participants</w:t>
      </w:r>
    </w:p>
    <w:p>
      <w:pPr>
        <w:spacing w:before="40" w:after="40"/>
        <w:ind w:left="288"/>
        <w:jc w:val="left"/>
      </w:pPr>
      <w:r>
        <w:rPr>
          <w:rFonts w:ascii="Arial" w:hAnsi="Arial"/>
          <w:b w:val="0"/>
          <w:i w:val="0"/>
          <w:color w:val="000000"/>
          <w:sz w:val="21"/>
        </w:rPr>
        <w:t>Count Six: The Corporate State — The United States as Commercial Entity</w:t>
      </w:r>
    </w:p>
    <w:p>
      <w:pPr>
        <w:spacing w:before="40" w:after="40"/>
        <w:ind w:left="288"/>
        <w:jc w:val="left"/>
      </w:pPr>
      <w:r>
        <w:rPr>
          <w:rFonts w:ascii="Arial" w:hAnsi="Arial"/>
          <w:b w:val="0"/>
          <w:i w:val="0"/>
          <w:color w:val="000000"/>
          <w:sz w:val="21"/>
        </w:rPr>
        <w:t>Count Seven: Crimes Against Humanity — The Documented Record</w:t>
      </w:r>
    </w:p>
    <w:p>
      <w:pPr>
        <w:spacing w:before="40" w:after="40"/>
        <w:ind w:left="288"/>
        <w:jc w:val="left"/>
      </w:pPr>
      <w:r>
        <w:rPr>
          <w:rFonts w:ascii="Arial" w:hAnsi="Arial"/>
          <w:b w:val="0"/>
          <w:i w:val="0"/>
          <w:color w:val="000000"/>
          <w:sz w:val="21"/>
        </w:rPr>
        <w:t>Count Eight: The Ongoing Enterprise — Continuous Enforcement to the Present</w:t>
      </w:r>
    </w:p>
    <w:p>
      <w:pPr>
        <w:spacing w:before="40" w:after="40"/>
        <w:ind w:left="288"/>
        <w:jc w:val="left"/>
      </w:pPr>
      <w:r>
        <w:rPr>
          <w:rFonts w:ascii="Arial" w:hAnsi="Arial"/>
          <w:b w:val="0"/>
          <w:i w:val="0"/>
          <w:color w:val="000000"/>
          <w:sz w:val="21"/>
        </w:rPr>
        <w:t>Count Nine: The Unanswered Accounting — No Remedy, No Correction, No Justice</w:t>
      </w:r>
    </w:p>
    <w:p>
      <w:pPr>
        <w:spacing w:before="40" w:after="40"/>
        <w:ind w:left="288"/>
        <w:jc w:val="left"/>
      </w:pPr>
      <w:r>
        <w:rPr>
          <w:rFonts w:ascii="Arial" w:hAnsi="Arial"/>
          <w:b w:val="0"/>
          <w:i w:val="0"/>
          <w:color w:val="000000"/>
          <w:sz w:val="21"/>
        </w:rPr>
        <w:t>The Living Being's Ground: Standing Above a Compromised System</w:t>
      </w:r>
    </w:p>
    <w:p>
      <w:pPr>
        <w:spacing w:before="40" w:after="40"/>
        <w:ind w:left="288"/>
        <w:jc w:val="left"/>
      </w:pPr>
      <w:r>
        <w:rPr>
          <w:rFonts w:ascii="Arial" w:hAnsi="Arial"/>
          <w:b w:val="0"/>
          <w:i w:val="0"/>
          <w:color w:val="000000"/>
          <w:sz w:val="21"/>
        </w:rPr>
        <w:t>Table of Authorities</w:t>
      </w:r>
    </w:p>
    <w:p>
      <w:r>
        <w:br w:type="page"/>
      </w:r>
    </w:p>
    <w:p>
      <w:pPr>
        <w:spacing w:before="320" w:after="80"/>
        <w:jc w:val="left"/>
        <w:pBdr>
          <w:bottom w:val="single" w:sz="5" w:space="1" w:color="1a1a2e"/>
        </w:pBdr>
      </w:pPr>
      <w:r>
        <w:rPr>
          <w:rFonts w:ascii="Arial" w:hAnsi="Arial"/>
          <w:b/>
          <w:i w:val="0"/>
          <w:color w:val="6B0020"/>
          <w:sz w:val="24"/>
        </w:rPr>
        <w:t>COUNT ONE: THE FOUNDING CRIME</w:t>
      </w:r>
    </w:p>
    <w:p>
      <w:pPr>
        <w:spacing w:before="200" w:after="60"/>
        <w:jc w:val="left"/>
      </w:pPr>
      <w:r>
        <w:rPr>
          <w:rFonts w:ascii="Arial" w:hAnsi="Arial"/>
          <w:b/>
          <w:i w:val="0"/>
          <w:color w:val="222244"/>
          <w:sz w:val="22"/>
        </w:rPr>
        <w:t>Treason and the Illegitimate Origin of Legal Authority</w:t>
      </w:r>
    </w:p>
    <w:p>
      <w:pPr>
        <w:spacing w:before="0" w:after="120"/>
        <w:jc w:val="both"/>
      </w:pPr>
      <w:r>
        <w:rPr>
          <w:rFonts w:ascii="Arial" w:hAnsi="Arial"/>
          <w:b w:val="0"/>
          <w:i w:val="0"/>
          <w:color w:val="000000"/>
          <w:sz w:val="21"/>
        </w:rPr>
        <w:t>The men who founded the American legal system were, under the law that governed them at the moment they acted, criminals. Not metaphorically. Not rhetorically. As a matter of precise legal fact.</w:t>
      </w:r>
    </w:p>
    <w:p>
      <w:pPr>
        <w:spacing w:before="0" w:after="120"/>
        <w:jc w:val="both"/>
      </w:pPr>
      <w:r>
        <w:rPr>
          <w:rFonts w:ascii="Arial" w:hAnsi="Arial"/>
          <w:b w:val="0"/>
          <w:i w:val="0"/>
          <w:color w:val="000000"/>
          <w:sz w:val="21"/>
        </w:rPr>
        <w:t>The Statute of Treasons of 1351, still operative colonial law in 1776, defined treason as levying war against the King or adhering to the King's enemies. The penalty was death. Every man who signed the Declaration of Independence committed this offense in the act of signing. They were subject to capital prosecution under the law that governed them. They knew it.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Benjamin Franklin, at the signing of the Declaration of Independence, 1776 — </w:t>
      </w:r>
      <w:r>
        <w:rPr>
          <w:rFonts w:ascii="Arial" w:hAnsi="Arial"/>
          <w:b w:val="0"/>
          <w:i/>
          <w:color w:val="555577"/>
          <w:sz w:val="19"/>
        </w:rPr>
        <w:t>We must all hang together or we shall most assuredly all hang separately. This was not wit. It was a precise legal assessment of their criminal exposure.</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British Crown Warrants, 1776-1783 — </w:t>
      </w:r>
      <w:r>
        <w:rPr>
          <w:rFonts w:ascii="Arial" w:hAnsi="Arial"/>
          <w:b w:val="0"/>
          <w:i/>
          <w:color w:val="555577"/>
          <w:sz w:val="19"/>
        </w:rPr>
        <w:t>The Crown issued warrants for the arrest of colonial leaders who signed the Declaration. Several were captured, tried, and imprisoned. The legal process of treason prosecution was initiated and interrupted only by the military outcome of the Revolution.</w:t>
      </w:r>
    </w:p>
    <w:p>
      <w:pPr>
        <w:spacing w:before="0" w:after="120"/>
        <w:jc w:val="both"/>
      </w:pPr>
      <w:r>
        <w:rPr>
          <w:rFonts w:ascii="Arial" w:hAnsi="Arial"/>
          <w:b w:val="0"/>
          <w:i w:val="0"/>
          <w:color w:val="000000"/>
          <w:sz w:val="21"/>
        </w:rPr>
        <w:t>The Revolution did not retroactively legalize what the founders did. It simply meant that no one with sufficient power to enforce the law against them survived the conflict with that power intact. Victory over the enforcing authority is not the same as legal legitimacy. It is the substitution of power for law — which is precisely what the founders claimed to be fighting against.</w:t>
      </w:r>
    </w:p>
    <w:p>
      <w:pPr>
        <w:spacing w:before="0" w:after="120"/>
        <w:jc w:val="both"/>
      </w:pPr>
      <w:r>
        <w:rPr>
          <w:rFonts w:ascii="Arial" w:hAnsi="Arial"/>
          <w:b w:val="0"/>
          <w:i w:val="0"/>
          <w:color w:val="000000"/>
          <w:sz w:val="21"/>
        </w:rPr>
        <w:t>From this foundational act — criminal under the governing law, legitimized only by military victory — the entire American legal system derives its claimed authority. The system that demands legal standing from every party before it was itself founded by parties who had no legal standing to found it.</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American legal system was founded by individuals who were criminals under the law that governed them, who had no legal standing to create a new legal order, and whose claim to legitimacy rested entirely on military victory over the authority whose law they had violated. This foundational illegitimacy is not a historical curiosity. It is the unexamined premise of every claim the system makes to authority over the living beings it governs.</w:t>
      </w:r>
    </w:p>
    <w:p>
      <w:pPr>
        <w:spacing w:before="160" w:after="160"/>
        <w:ind w:left="288" w:right="288"/>
        <w:jc w:val="center"/>
      </w:pPr>
      <w:r>
        <w:rPr>
          <w:rFonts w:ascii="Arial" w:hAnsi="Arial"/>
          <w:b/>
          <w:i/>
          <w:color w:val="7A5C00"/>
          <w:sz w:val="22"/>
        </w:rPr>
        <w:t>The founding was a crime. The system built on it carries that crime in its foundation. Every claim to authority derived from that foundation inherits its illegitimacy.</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TWO: THE CRIMINAL CHARTER</w:t>
      </w:r>
    </w:p>
    <w:p>
      <w:pPr>
        <w:spacing w:before="200" w:after="60"/>
        <w:jc w:val="left"/>
      </w:pPr>
      <w:r>
        <w:rPr>
          <w:rFonts w:ascii="Arial" w:hAnsi="Arial"/>
          <w:b/>
          <w:i w:val="0"/>
          <w:color w:val="222244"/>
          <w:sz w:val="22"/>
        </w:rPr>
        <w:t>The Constitution as the Enterprise's Founding Document</w:t>
      </w:r>
    </w:p>
    <w:p>
      <w:pPr>
        <w:spacing w:before="0" w:after="120"/>
        <w:jc w:val="both"/>
      </w:pPr>
      <w:r>
        <w:rPr>
          <w:rFonts w:ascii="Arial" w:hAnsi="Arial"/>
          <w:b w:val="0"/>
          <w:i w:val="0"/>
          <w:color w:val="000000"/>
          <w:sz w:val="21"/>
        </w:rPr>
        <w:t>The Constitution of the United States was written by men who were criminals under the law they had just overthrown, ratified by a process that excluded the majority of the people it purported to govern, and structured to protect the specific commercial and property interests of the men who wrote it — including their interest in the continuation of the slave system from which many of them personally derived wealth.</w:t>
      </w:r>
    </w:p>
    <w:p>
      <w:pPr>
        <w:spacing w:before="200" w:after="60"/>
        <w:jc w:val="left"/>
      </w:pPr>
      <w:r>
        <w:rPr>
          <w:rFonts w:ascii="Arial" w:hAnsi="Arial"/>
          <w:b/>
          <w:i w:val="0"/>
          <w:color w:val="222244"/>
          <w:sz w:val="22"/>
        </w:rPr>
        <w:t>The Exclusion from Consent</w:t>
      </w:r>
    </w:p>
    <w:p>
      <w:pPr>
        <w:spacing w:before="0" w:after="120"/>
        <w:jc w:val="both"/>
      </w:pPr>
      <w:r>
        <w:rPr>
          <w:rFonts w:ascii="Arial" w:hAnsi="Arial"/>
          <w:b w:val="0"/>
          <w:i w:val="0"/>
          <w:color w:val="000000"/>
          <w:sz w:val="21"/>
        </w:rPr>
        <w:t>The social contract theory the founders invoked to justify their revolution held that legitimate government derives its just powers from the consent of the governed. The Declaration of Independence stated this explicitly. The Constitution claimed to embody it.</w:t>
      </w:r>
    </w:p>
    <w:p>
      <w:pPr>
        <w:spacing w:before="0" w:after="120"/>
        <w:jc w:val="both"/>
      </w:pPr>
      <w:r>
        <w:rPr>
          <w:rFonts w:ascii="Arial" w:hAnsi="Arial"/>
          <w:b w:val="0"/>
          <w:i w:val="0"/>
          <w:color w:val="000000"/>
          <w:sz w:val="21"/>
        </w:rPr>
        <w:t>The 1790 census counted approximately 3.9 million people in the United States. The Constitution was ratified by conventions composed of white male property owners — approximately 6% of the total population. The remaining 94% — enslaved persons, indigenous peoples, women, and non-property-owning men — were governed by the document without their consent, without their representation, and in many cases against their explicit interests.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U.S. Constitution, Article I, Section 2, Clause 3 (1787) — </w:t>
      </w:r>
      <w:r>
        <w:rPr>
          <w:rFonts w:ascii="Arial" w:hAnsi="Arial"/>
          <w:b w:val="0"/>
          <w:i/>
          <w:color w:val="555577"/>
          <w:sz w:val="19"/>
        </w:rPr>
        <w:t>Representatives and direct Taxes shall be apportioned among the several States according to their respective Numbers, which shall be determined by adding to the whole Number of free Persons... three fifths of all other Persons. The enslaved were counted as three-fifths of a person for apportionment — not for rights. Property counted. Personhood did not.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U.S. Constitution, Article I, Section 9, Clause 1 (1787) — </w:t>
      </w:r>
      <w:r>
        <w:rPr>
          <w:rFonts w:ascii="Arial" w:hAnsi="Arial"/>
          <w:b w:val="0"/>
          <w:i/>
          <w:color w:val="555577"/>
          <w:sz w:val="19"/>
        </w:rPr>
        <w:t>The Migration or Importation of such Persons as any of the States now existing shall think proper to admit, shall not be prohibited by the Congress prior to the Year one thousand eight hundred and eight. The slave trade was constitutionally protected for twenty years. This was not an oversight. It was a negotiated condition of ratification.</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U.S. Constitution, Article IV, Section 2, Clause 3 (1787) — </w:t>
      </w:r>
      <w:r>
        <w:rPr>
          <w:rFonts w:ascii="Arial" w:hAnsi="Arial"/>
          <w:b w:val="0"/>
          <w:i/>
          <w:color w:val="555577"/>
          <w:sz w:val="19"/>
        </w:rPr>
        <w:t>No Person held to Service or Labour in one State, under the Laws thereof, escaping into another, shall, in Consequence of any Law or Regulation therein, be discharged from such Service or Labour. The Fugitive Slave Clause required free states to return escaped enslaved persons to their enslavers. Freedom obtained by flight was constitutionally nullified.</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Constitution was written by criminals who excluded 94% of the governed population from its formation, embedded the protection of the slave system as a structural condition of its ratification, and created a federal government whose primary beneficiaries were the propertied class who wrote it. It is not a social contract. It is the founding charter of an enterprise whose operations depended on the legal subordination of the majority.</w:t>
      </w:r>
    </w:p>
    <w:p>
      <w:pPr>
        <w:spacing w:before="160" w:after="160"/>
        <w:ind w:left="288" w:right="288"/>
        <w:jc w:val="center"/>
      </w:pPr>
      <w:r>
        <w:rPr>
          <w:rFonts w:ascii="Arial" w:hAnsi="Arial"/>
          <w:b/>
          <w:i/>
          <w:color w:val="7A5C00"/>
          <w:sz w:val="22"/>
        </w:rPr>
        <w:t>A document whose existence depended on protecting a criminal enterprise is not a neutral legal instrument. It is the enterprise's founding charter.</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THREE: THE MARITIME INFRASTRUCTURE</w:t>
      </w:r>
    </w:p>
    <w:p>
      <w:pPr>
        <w:spacing w:before="200" w:after="60"/>
        <w:jc w:val="left"/>
      </w:pPr>
      <w:r>
        <w:rPr>
          <w:rFonts w:ascii="Arial" w:hAnsi="Arial"/>
          <w:b/>
          <w:i w:val="0"/>
          <w:color w:val="222244"/>
          <w:sz w:val="22"/>
        </w:rPr>
        <w:t>Admiralty Jurisdiction and the Commercial Framework of Slavery</w:t>
      </w:r>
    </w:p>
    <w:p>
      <w:pPr>
        <w:spacing w:before="0" w:after="120"/>
        <w:jc w:val="both"/>
      </w:pPr>
      <w:r>
        <w:rPr>
          <w:rFonts w:ascii="Arial" w:hAnsi="Arial"/>
          <w:b w:val="0"/>
          <w:i w:val="0"/>
          <w:color w:val="000000"/>
          <w:sz w:val="21"/>
        </w:rPr>
        <w:t>The slave trade was maritime commerce. The Constitution's grant of admiralty jurisdiction to the federal courts — Article III, Section 2 — was not a neutral technical provision for shipping disputes. It was the constitutionalization of the commercial legal framework that governed the most profitable enterprise of the founding era: the transportation, insurance, financing, and enforcement of the commercial instruments of human enslavement.</w:t>
      </w:r>
    </w:p>
    <w:p>
      <w:pPr>
        <w:spacing w:before="0" w:after="120"/>
        <w:jc w:val="both"/>
      </w:pPr>
      <w:r>
        <w:rPr>
          <w:rFonts w:ascii="Arial" w:hAnsi="Arial"/>
          <w:b w:val="0"/>
          <w:i w:val="0"/>
          <w:color w:val="000000"/>
          <w:sz w:val="21"/>
        </w:rPr>
        <w:t>The founders were merchants and slaveholders who understood exactly what maritime commerce included. Their wealth was carried in ships. Their most valuable cargo was human. The admiralty courts that enforced maritime liens, adjudicated cargo disputes, and settled insurance claims were the courts that classified enslaved persons as commercial property and enforced that classification against any competing legal claim.</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Gregson v. Gilbert (The Zong Case), 1783 — </w:t>
      </w:r>
      <w:r>
        <w:rPr>
          <w:rFonts w:ascii="Arial" w:hAnsi="Arial"/>
          <w:b w:val="0"/>
          <w:i/>
          <w:color w:val="555577"/>
          <w:sz w:val="19"/>
        </w:rPr>
        <w:t>The owners of the slave ship Zong threw 132 enslaved persons overboard to collect insurance. The case was litigated in English admiralty as a maritime insurance dispute. The question before the court was whether the insurers were liable for the loss of cargo. The enslaved persons were cargo. Their deaths were a commercial loss. The admiralty framework governed. Four years later, the founders constitutionalized that same framework in Article III.</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Lloyd's of London Insurance Records, 18th Century — </w:t>
      </w:r>
      <w:r>
        <w:rPr>
          <w:rFonts w:ascii="Arial" w:hAnsi="Arial"/>
          <w:b w:val="0"/>
          <w:i/>
          <w:color w:val="555577"/>
          <w:sz w:val="19"/>
        </w:rPr>
        <w:t>Enslaved persons were routinely insured as maritime cargo. Policies covered loss by drowning, disease, and revolt. The commercial documents of the slave trade — bills of lading, insurance policies, cargo manifests listing human beings as property — were maritime commercial instruments governed by admiralty law. The founders who wrote the admiralty clause were participants in this commercial system.</w:t>
      </w:r>
    </w:p>
    <w:p>
      <w:pPr>
        <w:spacing w:before="0" w:after="120"/>
        <w:jc w:val="both"/>
      </w:pPr>
      <w:r>
        <w:rPr>
          <w:rFonts w:ascii="Arial" w:hAnsi="Arial"/>
          <w:b w:val="0"/>
          <w:i w:val="0"/>
          <w:color w:val="000000"/>
          <w:sz w:val="21"/>
        </w:rPr>
        <w:t>There is no principled boundary between admiralty jurisdiction and common law jurisdiction because both engage in commerce. The boundary is a judicial fiction maintained by the courts who benefit from controlling where it falls. The court that classifies a dispute as maritime rather than common law chooses which procedural framework applies — and admiralty's framework is systematically more favorable to creditors and commercial interests than common law's framework for the living being on the other side of the transaction.</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admiralty clause was written by men whose commercial wealth depended on the maritime commerce of slavery. It constitutionalized the legal framework that treated human beings as commercial cargo subject to maritime lien, insurance claim, and in rem seizure. The federal courts that exercise admiralty jurisdiction today are the institutional descendants of the courts that enforced those commercial instruments. The commercial logic is continuous. The living being who appears before a federal court exercising admiralty jurisdiction appears before the institutional heir of the court that adjudicated the Zong.</w:t>
      </w:r>
    </w:p>
    <w:p>
      <w:pPr>
        <w:spacing w:before="160" w:after="160"/>
        <w:ind w:left="288" w:right="288"/>
        <w:jc w:val="center"/>
      </w:pPr>
      <w:r>
        <w:rPr>
          <w:rFonts w:ascii="Arial" w:hAnsi="Arial"/>
          <w:b/>
          <w:i/>
          <w:color w:val="7A5C00"/>
          <w:sz w:val="22"/>
        </w:rPr>
        <w:t>The maritime infrastructure of the founding enterprise was constitutionalized in Article III. Commerce has no boundary because the enterprise had no boundary. The court that claims admiralty jurisdiction over the living being's commercial affairs claims it under a grant written to protect the founders' slave commerce.</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FOUR: THE CORRUPTED CORRECTION</w:t>
      </w:r>
    </w:p>
    <w:p>
      <w:pPr>
        <w:spacing w:before="200" w:after="60"/>
        <w:jc w:val="left"/>
      </w:pPr>
      <w:r>
        <w:rPr>
          <w:rFonts w:ascii="Arial" w:hAnsi="Arial"/>
          <w:b/>
          <w:i w:val="0"/>
          <w:color w:val="222244"/>
          <w:sz w:val="22"/>
        </w:rPr>
        <w:t>The 13th and 14th Amendments and Their Systematic Dismantling</w:t>
      </w:r>
    </w:p>
    <w:p>
      <w:pPr>
        <w:spacing w:before="0" w:after="120"/>
        <w:jc w:val="both"/>
      </w:pPr>
      <w:r>
        <w:rPr>
          <w:rFonts w:ascii="Arial" w:hAnsi="Arial"/>
          <w:b w:val="0"/>
          <w:i w:val="0"/>
          <w:color w:val="000000"/>
          <w:sz w:val="21"/>
        </w:rPr>
        <w:t>The Thirteenth and Fourteenth Amendments were genuine attempts to correct the founding crime. They were enacted by a Reconstruction Congress that understood what it was doing and why. They were systematically dismantled by the same institution — the Supreme Court — that was supposed to enforce them. The dismantling was not accidental. It was the enterprise protecting itself.</w:t>
      </w:r>
    </w:p>
    <w:p>
      <w:pPr>
        <w:spacing w:before="200" w:after="60"/>
        <w:jc w:val="left"/>
      </w:pPr>
      <w:r>
        <w:rPr>
          <w:rFonts w:ascii="Arial" w:hAnsi="Arial"/>
          <w:b/>
          <w:i w:val="0"/>
          <w:color w:val="222244"/>
          <w:sz w:val="22"/>
        </w:rPr>
        <w:t>The 13th Amendment and the Punishment Exception</w:t>
      </w:r>
    </w:p>
    <w:p>
      <w:pPr>
        <w:spacing w:before="0" w:after="120"/>
        <w:jc w:val="both"/>
      </w:pPr>
      <w:r>
        <w:rPr>
          <w:rFonts w:ascii="Arial" w:hAnsi="Arial"/>
          <w:b w:val="0"/>
          <w:i w:val="0"/>
          <w:color w:val="000000"/>
          <w:sz w:val="21"/>
        </w:rPr>
        <w:t>The Thirteenth Amendment abolished slavery and involuntary servitude except as punishment for crime. That exception was immediately exploited. Within months of ratification, the former Confederate states enacted the Black Codes — laws that made it a criminal offense to be unemployed, to be without a labor contract, to be present in certain places without permission, to speak in ways that offended white authority.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Black Codes of Mississippi, 1865 — </w:t>
      </w:r>
      <w:r>
        <w:rPr>
          <w:rFonts w:ascii="Arial" w:hAnsi="Arial"/>
          <w:b w:val="0"/>
          <w:i/>
          <w:color w:val="555577"/>
          <w:sz w:val="19"/>
        </w:rPr>
        <w:t>Any freedman found with no lawful employment or business shall be deemed a vagrant and fined fifty dollars or imprisoned at hard labor for not exceeding ten days. Vagrancy — the condition of being free and unemployed — was a crime. The crime triggered the punishment exception. The Thirteenth Amendment abolished slavery on November 6, 1865. The Mississippi Black Codes were enacted on November 24, 1865. Eighteen days.</w:t>
      </w:r>
    </w:p>
    <w:p>
      <w:pPr>
        <w:spacing w:before="0" w:after="120"/>
        <w:jc w:val="both"/>
      </w:pPr>
      <w:r>
        <w:rPr>
          <w:rFonts w:ascii="Arial" w:hAnsi="Arial"/>
          <w:b w:val="0"/>
          <w:i w:val="0"/>
          <w:color w:val="000000"/>
          <w:sz w:val="21"/>
        </w:rPr>
        <w:t>Convict leasing followed. States leased convicted persons — overwhelmingly Black men convicted under the Black Codes — to private corporations and plantations for labor. The state received revenue. The corporation received free labor. The person received nothing. The Thirteenth Amendment's punishment exception was the legal mechanism. The enterprise continued under a different name.</w:t>
      </w:r>
    </w:p>
    <w:p>
      <w:pPr>
        <w:spacing w:before="200" w:after="60"/>
        <w:jc w:val="left"/>
      </w:pPr>
      <w:r>
        <w:rPr>
          <w:rFonts w:ascii="Arial" w:hAnsi="Arial"/>
          <w:b/>
          <w:i w:val="0"/>
          <w:color w:val="222244"/>
          <w:sz w:val="22"/>
        </w:rPr>
        <w:t>The 14th Amendment Gutted Within Five Years</w:t>
      </w:r>
    </w:p>
    <w:p>
      <w:pPr>
        <w:spacing w:before="0" w:after="120"/>
        <w:jc w:val="both"/>
      </w:pPr>
      <w:r>
        <w:rPr>
          <w:rFonts w:ascii="Arial" w:hAnsi="Arial"/>
          <w:b w:val="0"/>
          <w:i w:val="0"/>
          <w:color w:val="000000"/>
          <w:sz w:val="21"/>
        </w:rPr>
        <w:t>The Fourteenth Amendment promised equal protection and due process to all persons. The Supreme Court promised to enforce it. The promises were broken within five years of ratification.</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The Slaughterhouse Cases, 83 U.S. 36 (1873) — </w:t>
      </w:r>
      <w:r>
        <w:rPr>
          <w:rFonts w:ascii="Arial" w:hAnsi="Arial"/>
          <w:b w:val="0"/>
          <w:i/>
          <w:color w:val="555577"/>
          <w:sz w:val="19"/>
        </w:rPr>
        <w:t>Five years after ratification, the Supreme Court narrowed the Privileges or Immunities Clause — the Amendment's primary vehicle for protecting fundamental rights — to near irrelevance. Justice Miller's majority opinion interpreted the clause to protect only a narrow set of rights arising from national citizenship, leaving the protection of most fundamental rights to the states. The same states that had just been defeated in a war fought partly over the rights of Black Americans were now the primary protectors of those rights. The result was predictable.</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The Civil Rights Cases, 109 U.S. 3 (1883) — </w:t>
      </w:r>
      <w:r>
        <w:rPr>
          <w:rFonts w:ascii="Arial" w:hAnsi="Arial"/>
          <w:b w:val="0"/>
          <w:i/>
          <w:color w:val="555577"/>
          <w:sz w:val="19"/>
        </w:rPr>
        <w:t>The Supreme Court struck down the Civil Rights Act of 1875, which had prohibited racial discrimination in public accommodations. The Court held that the Fourteenth Amendment prohibited state action but not private discrimination — effectively immunizing the private architecture of racial subordination from constitutional challenge. The enterprise continued. The courts made it constitutional.</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Plessy v. Ferguson, 163 U.S. 537 (1896) — </w:t>
      </w:r>
      <w:r>
        <w:rPr>
          <w:rFonts w:ascii="Arial" w:hAnsi="Arial"/>
          <w:b w:val="0"/>
          <w:i/>
          <w:color w:val="555577"/>
          <w:sz w:val="19"/>
        </w:rPr>
        <w:t>The Supreme Court held that separate but equal satisfied the Fourteenth Amendment's equal protection guarantee. The decision stood for 58 years. In those 58 years, the separate facilities were never equal. The living beings subjected to them were never treated as equal. The Court knew this and said equal anyway.</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Thirteenth Amendment was exploited through the punishment exception within eighteen days of ratification. The Fourteenth Amendment was gutted by the Supreme Court within five years. The corrections were not merely inadequate. They were actively dismantled by the institution that was constitutionally charged with enforcing them. The enterprise used the corrective mechanisms to perpetuate itself.</w:t>
      </w:r>
    </w:p>
    <w:p>
      <w:pPr>
        <w:spacing w:before="160" w:after="160"/>
        <w:ind w:left="288" w:right="288"/>
        <w:jc w:val="center"/>
      </w:pPr>
      <w:r>
        <w:rPr>
          <w:rFonts w:ascii="Arial" w:hAnsi="Arial"/>
          <w:b/>
          <w:i/>
          <w:color w:val="7A5C00"/>
          <w:sz w:val="22"/>
        </w:rPr>
        <w:t>An enterprise that neutralizes its own corrective mechanisms is an enterprise that has captured every level of the system designed to constrain it. The corrections were real. The neutralization was deliberate. The ongoing enforcement is the proof.</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FIVE: THE COMMERCIAL TRIBUNAL</w:t>
      </w:r>
    </w:p>
    <w:p>
      <w:pPr>
        <w:spacing w:before="200" w:after="60"/>
        <w:jc w:val="left"/>
      </w:pPr>
      <w:r>
        <w:rPr>
          <w:rFonts w:ascii="Arial" w:hAnsi="Arial"/>
          <w:b/>
          <w:i w:val="0"/>
          <w:color w:val="222244"/>
          <w:sz w:val="22"/>
        </w:rPr>
        <w:t>Courts as Financial Participants in the Enterprise</w:t>
      </w:r>
    </w:p>
    <w:p>
      <w:pPr>
        <w:spacing w:before="0" w:after="120"/>
        <w:jc w:val="both"/>
      </w:pPr>
      <w:r>
        <w:rPr>
          <w:rFonts w:ascii="Arial" w:hAnsi="Arial"/>
          <w:b w:val="0"/>
          <w:i w:val="0"/>
          <w:color w:val="000000"/>
          <w:sz w:val="21"/>
        </w:rPr>
        <w:t>A court that financially benefits from the outcomes of the proceedings before it is not an impartial tribunal. The Supreme Court established this principle in Tumey v. Ohio, 273 U.S. 510 (1927), holding that a judge with a financial interest in conviction violated due process. The principle has never been applied to the federal judiciary as an institution — because the institution that would be disqualified is the institution that would have to apply the principle.</w:t>
      </w:r>
    </w:p>
    <w:p>
      <w:pPr>
        <w:spacing w:before="0" w:after="120"/>
        <w:jc w:val="both"/>
      </w:pPr>
      <w:r>
        <w:rPr>
          <w:rFonts w:ascii="Arial" w:hAnsi="Arial"/>
          <w:b w:val="0"/>
          <w:i w:val="0"/>
          <w:color w:val="000000"/>
          <w:sz w:val="21"/>
        </w:rPr>
        <w:t>The federal court system generates revenue from: filing fees collected from every civil litigant; criminal fines imposed as part of sentencing; civil monetary penalties assessed in regulatory proceedings; civil asset forfeiture proceeds distributed to participating agencies and courts; and the jurisdictional expansion that increases caseload, justifies larger budgets, and grows the institutional size of the judiciary.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Administrative Office of the United States Courts, Annual Reports — </w:t>
      </w:r>
      <w:r>
        <w:rPr>
          <w:rFonts w:ascii="Arial" w:hAnsi="Arial"/>
          <w:b w:val="0"/>
          <w:i/>
          <w:color w:val="555577"/>
          <w:sz w:val="19"/>
        </w:rPr>
        <w:t>The federal judiciary collects billions annually in fees, fines, and forfeitures. These funds support the court system's operations. The court system that imposes fines, adjudicates forfeitures, and assesses penalties is financially supported by the revenue those fines, forfeitures, and penalties generate. This is the Tumey principle at the institutional level.</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Civil Asset Forfeiture Statistics, Department of Justice — </w:t>
      </w:r>
      <w:r>
        <w:rPr>
          <w:rFonts w:ascii="Arial" w:hAnsi="Arial"/>
          <w:b w:val="0"/>
          <w:i/>
          <w:color w:val="555577"/>
          <w:sz w:val="19"/>
        </w:rPr>
        <w:t>Federal civil asset forfeiture generated approximately 2.5 billion dollars in 2019 alone. Property is seized from persons who have not been charged with a crime, convicted of a crime, or given an opportunity to contest the seizure before it occurs. The courts that adjudicate forfeiture proceedings receive a portion of the proceeds. They have a direct financial interest in ruling in favor of forfeiture.</w:t>
      </w:r>
    </w:p>
    <w:p>
      <w:pPr>
        <w:spacing w:before="0" w:after="120"/>
        <w:jc w:val="both"/>
      </w:pPr>
      <w:r>
        <w:rPr>
          <w:rFonts w:ascii="Arial" w:hAnsi="Arial"/>
          <w:b w:val="0"/>
          <w:i w:val="0"/>
          <w:color w:val="000000"/>
          <w:sz w:val="21"/>
        </w:rPr>
        <w:t>Beyond revenue generation, the federal judiciary has an institutional interest in the breadth of its own jurisdiction. The courts that interpret the scope of federal jurisdiction are the same courts whose institutional size, budget, and influence depend on that jurisdiction being broad. The interpretation of jurisdiction is performed by the institution that benefits from expansive interpretation. The Tumey principle — financial interest in outcome disqualifies the adjudicator — applies directly.</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federal judiciary is a commercial entity that generates revenue from the outcomes of proceedings before it, has institutional financial interests in the breadth of its own jurisdiction, and applies to itself none of the due process standards it imposes on other tribunals. Every court that adjudicates a forfeiture, imposes a fine, or interprets its own jurisdiction while financially benefiting from those outcomes has violated the due process principle the Supreme Court established in Tumey. The violation is structural, continuous, and self-immunized.</w:t>
      </w:r>
    </w:p>
    <w:p>
      <w:pPr>
        <w:spacing w:before="160" w:after="160"/>
        <w:ind w:left="288" w:right="288"/>
        <w:jc w:val="center"/>
      </w:pPr>
      <w:r>
        <w:rPr>
          <w:rFonts w:ascii="Arial" w:hAnsi="Arial"/>
          <w:b/>
          <w:i/>
          <w:color w:val="7A5C00"/>
          <w:sz w:val="22"/>
        </w:rPr>
        <w:t>A court engaged in commerce, adjudicating commerce, and generating revenue from commercial outcomes cannot claim impartiality over the living being whose commercial interests are adverse to those of the commercial actors the court has historically served.</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SIX: THE CORPORATE STATE</w:t>
      </w:r>
    </w:p>
    <w:p>
      <w:pPr>
        <w:spacing w:before="200" w:after="60"/>
        <w:jc w:val="left"/>
      </w:pPr>
      <w:r>
        <w:rPr>
          <w:rFonts w:ascii="Arial" w:hAnsi="Arial"/>
          <w:b/>
          <w:i w:val="0"/>
          <w:color w:val="222244"/>
          <w:sz w:val="22"/>
        </w:rPr>
        <w:t>The United States as Commercial Entity</w:t>
      </w:r>
    </w:p>
    <w:p>
      <w:pPr>
        <w:spacing w:before="0" w:after="120"/>
        <w:jc w:val="both"/>
      </w:pPr>
      <w:r>
        <w:rPr>
          <w:rFonts w:ascii="Arial" w:hAnsi="Arial"/>
          <w:b w:val="0"/>
          <w:i w:val="0"/>
          <w:color w:val="000000"/>
          <w:sz w:val="21"/>
        </w:rPr>
        <w:t>The United States operates simultaneously as a sovereign government claiming authority over the living beings within its territory and as a commercial corporation with financial obligations to bondholders, creditors, and international commercial counterparties. These two roles are in structural tension. The living being governed by the sovereign is also a financial asset of the corporation — their labor, their consumption, their tax payments, and their participation in the economy are the revenue streams that service the corporation's commercial obligations.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District of Columbia Organic Act of 1871 — </w:t>
      </w:r>
      <w:r>
        <w:rPr>
          <w:rFonts w:ascii="Arial" w:hAnsi="Arial"/>
          <w:b w:val="0"/>
          <w:i/>
          <w:color w:val="555577"/>
          <w:sz w:val="19"/>
        </w:rPr>
        <w:t>An Act to provide a Government for the District of Columbia. This Act reorganized the government of the District of Columbia as a municipal corporation. Legal scholars have contested whether this Act effectively incorporated the United States government itself. What is not contested is that the United States operates as a commercial entity in international bond markets, with credit ratings, financial obligations, and commercial counterparties.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United States DUNS Number: 052714196 — </w:t>
      </w:r>
      <w:r>
        <w:rPr>
          <w:rFonts w:ascii="Arial" w:hAnsi="Arial"/>
          <w:b w:val="0"/>
          <w:i/>
          <w:color w:val="555577"/>
          <w:sz w:val="19"/>
        </w:rPr>
        <w:t>The United States government is registered in the Dun and Bradstreet commercial database with DUNS number 052714196. This registration is the commercial database's recognition that the United States is an entity engaged in commercial activity — borrowing, contracting, and operating in commercial markets.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U.S. Treasury Bond Markets — </w:t>
      </w:r>
      <w:r>
        <w:rPr>
          <w:rFonts w:ascii="Arial" w:hAnsi="Arial"/>
          <w:b w:val="0"/>
          <w:i/>
          <w:color w:val="555577"/>
          <w:sz w:val="19"/>
        </w:rPr>
        <w:t>The United States issues bonds — commercial debt instruments — traded in international markets. These bonds carry interest obligations that are legally enforceable commercial debts. The United States has a credit rating assigned by commercial rating agencies including Standard and Poors, Moodys, and Fitch. Its creditworthiness is evaluated by commercial actors whose financial interests in the United States government's fiscal decisions are direct and substantial.</w:t>
      </w:r>
    </w:p>
    <w:p>
      <w:pPr>
        <w:spacing w:before="0" w:after="120"/>
        <w:jc w:val="both"/>
      </w:pPr>
      <w:r>
        <w:rPr>
          <w:rFonts w:ascii="Arial" w:hAnsi="Arial"/>
          <w:b w:val="0"/>
          <w:i w:val="0"/>
          <w:color w:val="000000"/>
          <w:sz w:val="21"/>
        </w:rPr>
        <w:t>The living being's labor generates the tax revenue that services the commercial debt. The living being's consumption generates the economic activity that supports the credit rating. The living being is the productive asset whose output makes the commercial obligations payable. When the commercial obligations of the corporate state conflict with the constitutional obligations of the sovereign state — when what the bondholders require and what the Constitution demands point in different directions — the history of American fiscal policy documents which constraint has more consistently prevailed.</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United States operates as a commercial corporation with financial obligations to commercial counterparties that constrain its governance decisions. The living being who is governed as a subject of the sovereign is simultaneously managed as a productive asset of the corporation. The court system that enforces the sovereign's laws is the same commercial institution that enforces the corporation's commercial obligations. The living being appears before a commercial entity claiming sovereign authority.</w:t>
      </w:r>
    </w:p>
    <w:p>
      <w:pPr>
        <w:spacing w:before="160" w:after="160"/>
        <w:ind w:left="288" w:right="288"/>
        <w:jc w:val="center"/>
      </w:pPr>
      <w:r>
        <w:rPr>
          <w:rFonts w:ascii="Arial" w:hAnsi="Arial"/>
          <w:b/>
          <w:i/>
          <w:color w:val="7A5C00"/>
          <w:sz w:val="22"/>
        </w:rPr>
        <w:t>A government that is simultaneously a corporation has a structural conflict of interest between its obligation to protect rights and its obligation to service commercial debts. The enterprise resolves this conflict the same way it has always resolved conflicts: in favor of the commercial interest.</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SEVEN: CRIMES AGAINST HUMANITY</w:t>
      </w:r>
    </w:p>
    <w:p>
      <w:pPr>
        <w:spacing w:before="200" w:after="60"/>
        <w:jc w:val="left"/>
      </w:pPr>
      <w:r>
        <w:rPr>
          <w:rFonts w:ascii="Arial" w:hAnsi="Arial"/>
          <w:b/>
          <w:i w:val="0"/>
          <w:color w:val="222244"/>
          <w:sz w:val="22"/>
        </w:rPr>
        <w:t>The Documented Record</w:t>
      </w:r>
    </w:p>
    <w:p>
      <w:pPr>
        <w:spacing w:before="0" w:after="120"/>
        <w:jc w:val="both"/>
      </w:pPr>
      <w:r>
        <w:rPr>
          <w:rFonts w:ascii="Arial" w:hAnsi="Arial"/>
          <w:b w:val="0"/>
          <w:i w:val="0"/>
          <w:color w:val="000000"/>
          <w:sz w:val="21"/>
        </w:rPr>
        <w:t>Under the Rome Statute of the International Criminal Court, crimes against humanity include murder, enslavement, deportation, torture, and persecution committed as part of a widespread or systematic attack directed against any civilian population. The documented history of the United States meets every element of this definition across multiple populations across multiple centuries.</w:t>
      </w:r>
    </w:p>
    <w:p>
      <w:pPr>
        <w:spacing w:before="200" w:after="60"/>
        <w:jc w:val="left"/>
      </w:pPr>
      <w:r>
        <w:rPr>
          <w:rFonts w:ascii="Arial" w:hAnsi="Arial"/>
          <w:b/>
          <w:i w:val="0"/>
          <w:color w:val="222244"/>
          <w:sz w:val="22"/>
        </w:rPr>
        <w:t>The Transatlantic Slave Trade</w:t>
      </w:r>
    </w:p>
    <w:p>
      <w:pPr>
        <w:spacing w:before="0" w:after="120"/>
        <w:jc w:val="both"/>
      </w:pPr>
      <w:r>
        <w:rPr>
          <w:rFonts w:ascii="Arial" w:hAnsi="Arial"/>
          <w:b w:val="0"/>
          <w:i w:val="0"/>
          <w:color w:val="000000"/>
          <w:sz w:val="21"/>
        </w:rPr>
        <w:t>Approximately 12.5 million Africans were forcibly transported to the Americas in the transatlantic slave trade. Approximately 1.8 million died in transit — documented as cargo losses in commercial records. The United States and its colonial predecessors participated in and profited from this trade for 245 years. The trade was not merely tolerated. It was constitutionally protected, commercially financed, and legally enforced by the same courts whose institutional descendants now claim authority over the living beings descended from its victims.</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Trans-Atlantic Slave Trade Database (slavevoyages.org) — </w:t>
      </w:r>
      <w:r>
        <w:rPr>
          <w:rFonts w:ascii="Arial" w:hAnsi="Arial"/>
          <w:b w:val="0"/>
          <w:i/>
          <w:color w:val="555577"/>
          <w:sz w:val="19"/>
        </w:rPr>
        <w:t>The most comprehensive scholarly database of the transatlantic slave trade documents over 36,000 individual voyages, the names of ships, the ports of origin and destination, the numbers transported and the numbers who died. This is not historical speculation. It is documented commercial record.</w:t>
      </w:r>
    </w:p>
    <w:p>
      <w:pPr>
        <w:spacing w:before="200" w:after="60"/>
        <w:jc w:val="left"/>
      </w:pPr>
      <w:r>
        <w:rPr>
          <w:rFonts w:ascii="Arial" w:hAnsi="Arial"/>
          <w:b/>
          <w:i w:val="0"/>
          <w:color w:val="222244"/>
          <w:sz w:val="22"/>
        </w:rPr>
        <w:t>The Destruction of Indigenous Peoples</w:t>
      </w:r>
    </w:p>
    <w:p>
      <w:pPr>
        <w:spacing w:before="0" w:after="120"/>
        <w:jc w:val="both"/>
      </w:pPr>
      <w:r>
        <w:rPr>
          <w:rFonts w:ascii="Arial" w:hAnsi="Arial"/>
          <w:b w:val="0"/>
          <w:i w:val="0"/>
          <w:color w:val="000000"/>
          <w:sz w:val="21"/>
        </w:rPr>
        <w:t>The systematic dispossession, forced removal, and destruction of indigenous peoples across the North American continent was conducted pursuant to federal statutes, presidential orders, military operations, and Supreme Court decisions. It was not the action of rogue individuals. It was the policy of the enterprise, implemented through its legal and military instruments, continuously from the colonial period through the twentieth century.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Indian Removal Act of 1830, 4 Stat. 411 — </w:t>
      </w:r>
      <w:r>
        <w:rPr>
          <w:rFonts w:ascii="Arial" w:hAnsi="Arial"/>
          <w:b w:val="0"/>
          <w:i/>
          <w:color w:val="555577"/>
          <w:sz w:val="19"/>
        </w:rPr>
        <w:t>Signed by President Andrew Jackson, who himself held enslaved persons. Authorized the forced removal of indigenous peoples from their ancestral territories east of the Mississippi. The Trail of Tears that followed killed an estimated 4,000 Cherokee people. The Act was constitutional. The removal was legal. The deaths were the legal consequence of the enterprise's policy.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Wounded Knee Massacre, December 29, 1890 — </w:t>
      </w:r>
      <w:r>
        <w:rPr>
          <w:rFonts w:ascii="Arial" w:hAnsi="Arial"/>
          <w:b w:val="0"/>
          <w:i/>
          <w:color w:val="555577"/>
          <w:sz w:val="19"/>
        </w:rPr>
        <w:t>United States Army soldiers of the 7th Cavalry Regiment killed approximately 250 to 300 Lakota men, women, and children. Twenty soldiers received the Medal of Honor for their actions. The awards have never been rescinded. The government has never issued a formal apology.</w:t>
      </w:r>
    </w:p>
    <w:p>
      <w:pPr>
        <w:spacing w:before="200" w:after="60"/>
        <w:jc w:val="left"/>
      </w:pPr>
      <w:r>
        <w:rPr>
          <w:rFonts w:ascii="Arial" w:hAnsi="Arial"/>
          <w:b/>
          <w:i w:val="0"/>
          <w:color w:val="222244"/>
          <w:sz w:val="22"/>
        </w:rPr>
        <w:t>Convict Leasing and Peonage</w:t>
      </w:r>
    </w:p>
    <w:p>
      <w:pPr>
        <w:spacing w:before="0" w:after="120"/>
        <w:jc w:val="both"/>
      </w:pPr>
      <w:r>
        <w:rPr>
          <w:rFonts w:ascii="Arial" w:hAnsi="Arial"/>
          <w:b w:val="0"/>
          <w:i w:val="0"/>
          <w:color w:val="000000"/>
          <w:sz w:val="21"/>
        </w:rPr>
        <w:t>Following the Civil War, the southern states used the Thirteenth Amendment's punishment exception to re-enslave the formerly enslaved through the criminal justice system. The Black Codes created the crimes. The courts convicted. The state leased the convicted persons to private corporations for labor. The corporations paid the state. The persons received nothing. The conditions were, by documented historical accounts, worse than slavery.</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Douglas Blackmon, Slavery by Another Name (2008) — </w:t>
      </w:r>
      <w:r>
        <w:rPr>
          <w:rFonts w:ascii="Arial" w:hAnsi="Arial"/>
          <w:b w:val="0"/>
          <w:i/>
          <w:color w:val="555577"/>
          <w:sz w:val="19"/>
        </w:rPr>
        <w:t>Pulitzer Prize-winning documentation of the convict leasing system operating in the American South from the end of the Civil War through World War II. Based on county court records, company documents, and state archives. The documentation is drawn from the enterprise's own records.</w:t>
      </w:r>
    </w:p>
    <w:p>
      <w:pPr>
        <w:spacing w:before="200" w:after="60"/>
        <w:jc w:val="left"/>
      </w:pPr>
      <w:r>
        <w:rPr>
          <w:rFonts w:ascii="Arial" w:hAnsi="Arial"/>
          <w:b/>
          <w:i w:val="0"/>
          <w:color w:val="222244"/>
          <w:sz w:val="22"/>
        </w:rPr>
        <w:t>Lynching as State-Tolerated Terror</w:t>
      </w:r>
    </w:p>
    <w:p>
      <w:pPr>
        <w:spacing w:before="0" w:after="120"/>
        <w:jc w:val="both"/>
      </w:pPr>
      <w:r>
        <w:rPr>
          <w:rFonts w:ascii="Arial" w:hAnsi="Arial"/>
          <w:b w:val="0"/>
          <w:i w:val="0"/>
          <w:color w:val="000000"/>
          <w:sz w:val="21"/>
        </w:rPr>
        <w:t>Between 1877 and 1950, the NAACP documented over 4,700 lynchings of Black Americans. Federal anti-lynching legislation was introduced in Congress over 200 times. It was blocked by filibuster in the Senate each time. The federal government had the power to act. It chose not to. The enterprise tolerated the terror because the terror served the enterprise's interest in maintaining the racial hierarchy on which its labor system depended.</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United States Senate Resolution 39, June 13, 2005 — </w:t>
      </w:r>
      <w:r>
        <w:rPr>
          <w:rFonts w:ascii="Arial" w:hAnsi="Arial"/>
          <w:b w:val="0"/>
          <w:i/>
          <w:color w:val="555577"/>
          <w:sz w:val="19"/>
        </w:rPr>
        <w:t>The Senate formally apologized for its failure to enact anti-lynching legislation. The apology acknowledged that the Senate had the power to act and chose not to. It acknowledged that the inaction made the Senate complicit in the deaths. It did not provide remedy. It did not create accountability. It was an acknowledgment without consequence.</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United States government committed, tolerated, and facilitated crimes against humanity across multiple populations across multiple centuries. These crimes were not the actions of rogue individuals. They were the policies of the enterprise, implemented through its legal and military instruments, documented in its own records. The enterprise has acknowledged some of these crimes. It has provided remedy for none of them.</w:t>
      </w:r>
    </w:p>
    <w:p>
      <w:pPr>
        <w:spacing w:before="160" w:after="160"/>
        <w:ind w:left="288" w:right="288"/>
        <w:jc w:val="center"/>
      </w:pPr>
      <w:r>
        <w:rPr>
          <w:rFonts w:ascii="Arial" w:hAnsi="Arial"/>
          <w:b/>
          <w:i/>
          <w:color w:val="7A5C00"/>
          <w:sz w:val="22"/>
        </w:rPr>
        <w:t>The documented record constitutes proof of crimes against humanity under any applicable standard. The enterprise that committed them continues to operate. The courts that enforced them continue to exercise jurisdiction. The living beings descended from the victims continue to appear before those courts without remedy.</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EIGHT: THE ONGOING ENTERPRISE</w:t>
      </w:r>
    </w:p>
    <w:p>
      <w:pPr>
        <w:spacing w:before="200" w:after="60"/>
        <w:jc w:val="left"/>
      </w:pPr>
      <w:r>
        <w:rPr>
          <w:rFonts w:ascii="Arial" w:hAnsi="Arial"/>
          <w:b/>
          <w:i w:val="0"/>
          <w:color w:val="222244"/>
          <w:sz w:val="22"/>
        </w:rPr>
        <w:t>Continuous Enforcement to the Present</w:t>
      </w:r>
    </w:p>
    <w:p>
      <w:pPr>
        <w:spacing w:before="0" w:after="120"/>
        <w:jc w:val="both"/>
      </w:pPr>
      <w:r>
        <w:rPr>
          <w:rFonts w:ascii="Arial" w:hAnsi="Arial"/>
          <w:b w:val="0"/>
          <w:i w:val="0"/>
          <w:color w:val="000000"/>
          <w:sz w:val="21"/>
        </w:rPr>
        <w:t>The founding crime did not end at the founding. The criminal charter was not corrected by the amendments. The commercial tribunal did not become impartial after the Civil War. The crimes against humanity did not stop with formal legal abolition. The enterprise continues. The enforcement continues. The living beings subject to it continue to experience its operation in their daily lives.</w:t>
      </w:r>
    </w:p>
    <w:p>
      <w:pPr>
        <w:spacing w:before="200" w:after="60"/>
        <w:jc w:val="left"/>
      </w:pPr>
      <w:r>
        <w:rPr>
          <w:rFonts w:ascii="Arial" w:hAnsi="Arial"/>
          <w:b/>
          <w:i w:val="0"/>
          <w:color w:val="222244"/>
          <w:sz w:val="22"/>
        </w:rPr>
        <w:t>Mass Incarceration as Convict Leasing Continued</w:t>
      </w:r>
    </w:p>
    <w:p>
      <w:pPr>
        <w:spacing w:before="0" w:after="120"/>
        <w:jc w:val="both"/>
      </w:pPr>
      <w:r>
        <w:rPr>
          <w:rFonts w:ascii="Arial" w:hAnsi="Arial"/>
          <w:b w:val="0"/>
          <w:i w:val="0"/>
          <w:color w:val="000000"/>
          <w:sz w:val="21"/>
        </w:rPr>
        <w:t>The United States incarcerates more people per capita than any other nation on Earth. Black Americans are incarcerated at five times the rate of white Americans for equivalent conduct. Incarcerated persons perform labor for wages ranging from nothing to a few cents per hour. The products of that labor are sold commercially. The prison system generates revenue for private corporations and for the state.</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Bureau of Justice Statistics, Prisoners in 2022 — </w:t>
      </w:r>
      <w:r>
        <w:rPr>
          <w:rFonts w:ascii="Arial" w:hAnsi="Arial"/>
          <w:b w:val="0"/>
          <w:i/>
          <w:color w:val="555577"/>
          <w:sz w:val="19"/>
        </w:rPr>
        <w:t>The United States held approximately 1.9 million people in federal and state prisons and local jails. Black Americans represented 38% of the prison population while representing 13% of the general population. The racial disparity is not explained by differential rates of criminal conduct. It is explained by differential rates of criminal enforcement.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Prison Policy Initiative, Prison Labor Report (2022) — </w:t>
      </w:r>
      <w:r>
        <w:rPr>
          <w:rFonts w:ascii="Arial" w:hAnsi="Arial"/>
          <w:b w:val="0"/>
          <w:i/>
          <w:color w:val="555577"/>
          <w:sz w:val="19"/>
        </w:rPr>
        <w:t>Incarcerated workers in the United States earn between 86 cents and 3.45 dollars per day for their labor, or nothing in states that do not pay for prison labor at all. The products and services produced by prison labor include agricultural goods, manufactured products, and government services. The Thirteenth Amendment's punishment exception is the legal authority. The convict leasing logic is the commercial logic.</w:t>
      </w:r>
    </w:p>
    <w:p>
      <w:pPr>
        <w:spacing w:before="200" w:after="60"/>
        <w:jc w:val="left"/>
      </w:pPr>
      <w:r>
        <w:rPr>
          <w:rFonts w:ascii="Arial" w:hAnsi="Arial"/>
          <w:b/>
          <w:i w:val="0"/>
          <w:color w:val="222244"/>
          <w:sz w:val="22"/>
        </w:rPr>
        <w:t>Racially Disparate Enforcement as Ongoing Badge of Slavery</w:t>
      </w:r>
    </w:p>
    <w:p>
      <w:pPr>
        <w:spacing w:before="0" w:after="120"/>
        <w:jc w:val="both"/>
      </w:pPr>
      <w:r>
        <w:rPr>
          <w:rFonts w:ascii="Arial" w:hAnsi="Arial"/>
          <w:b w:val="0"/>
          <w:i w:val="0"/>
          <w:color w:val="000000"/>
          <w:sz w:val="21"/>
        </w:rPr>
        <w:t>Every domain of legal enforcement shows documented racial disparity: policing, prosecution, sentencing, bail, parole, and civil enforcement. These disparities are not the product of individual bias. They are the product of systems built on racial hierarchy that have never been fully dismantled. The badges and incidents of slavery — the marks of subordination that the Thirteenth Amendment empowered Congress to eliminate — persist in every domain of American legal enforcement.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Stanford Open Policing Project, 2019 — </w:t>
      </w:r>
      <w:r>
        <w:rPr>
          <w:rFonts w:ascii="Arial" w:hAnsi="Arial"/>
          <w:b w:val="0"/>
          <w:i/>
          <w:color w:val="555577"/>
          <w:sz w:val="19"/>
        </w:rPr>
        <w:t>Analysis of 100 million traffic stops across the United States found that Black drivers were stopped more often than white drivers, searched more often than white drivers despite lower rates of contraband discovery, and treated more harshly at every stage of the encounter. The disparity persisted across jurisdictions, across time, and across controlling variables.</w:t>
      </w:r>
    </w:p>
    <w:p>
      <w:pPr>
        <w:spacing w:before="200" w:after="60"/>
        <w:jc w:val="left"/>
      </w:pPr>
      <w:r>
        <w:rPr>
          <w:rFonts w:ascii="Arial" w:hAnsi="Arial"/>
          <w:b/>
          <w:i w:val="0"/>
          <w:color w:val="222244"/>
          <w:sz w:val="22"/>
        </w:rPr>
        <w:t>Wealth Extraction as Ongoing Economic Subordination</w:t>
      </w:r>
    </w:p>
    <w:p>
      <w:pPr>
        <w:spacing w:before="0" w:after="120"/>
        <w:jc w:val="both"/>
      </w:pPr>
      <w:r>
        <w:rPr>
          <w:rFonts w:ascii="Arial" w:hAnsi="Arial"/>
          <w:b w:val="0"/>
          <w:i w:val="0"/>
          <w:color w:val="000000"/>
          <w:sz w:val="21"/>
        </w:rPr>
        <w:t>The racial wealth gap in the United States is the direct and documented consequence of the founding enterprise's ongoing operation. Centuries of uncompensated labor, followed by systematic exclusion from wealth-building mechanisms, followed by predatory targeting of Black wealth through redlining, subprime lending, and discriminatory property valuation, have produced a gap that compounds with each generation. The enterprise extracts. The living being loses. The courts enforce the transactions that accomplish the extraction.</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Federal Reserve Survey of Consumer Finances, 2022 — </w:t>
      </w:r>
      <w:r>
        <w:rPr>
          <w:rFonts w:ascii="Arial" w:hAnsi="Arial"/>
          <w:b w:val="0"/>
          <w:i/>
          <w:color w:val="555577"/>
          <w:sz w:val="19"/>
        </w:rPr>
        <w:t>The median white family holds approximately eight times the wealth of the median Black family. This gap has not narrowed meaningfully in fifty years of civil rights law. It is the compound interest of four centuries of systematically unequal treatment, accruing to the present day.</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enterprise has not ended. It has modernized. The legal instruments change. The commercial logic does not. The living being who appears before a federal court today appears before the same enterprise that classified their ancestors as cargo, that exploited the punishment exception within eighteen days of emancipation, that gutted the Fourteenth Amendment within five years of ratification, and that continues to enforce racial and economic hierarchy through every instrument of legal power available to it.</w:t>
      </w:r>
    </w:p>
    <w:p>
      <w:pPr>
        <w:spacing w:before="160" w:after="160"/>
        <w:ind w:left="288" w:right="288"/>
        <w:jc w:val="center"/>
      </w:pPr>
      <w:r>
        <w:rPr>
          <w:rFonts w:ascii="Arial" w:hAnsi="Arial"/>
          <w:b/>
          <w:i/>
          <w:color w:val="7A5C00"/>
          <w:sz w:val="22"/>
        </w:rPr>
        <w:t>Ongoing enforcement. No correction. No remedy. No accountability. The enterprise operates. The courts serve it. The living being pays for it.</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6B0020"/>
          <w:sz w:val="24"/>
        </w:rPr>
        <w:t>COUNT NINE: THE UNANSWERED ACCOUNTING</w:t>
      </w:r>
    </w:p>
    <w:p>
      <w:pPr>
        <w:spacing w:before="200" w:after="60"/>
        <w:jc w:val="left"/>
      </w:pPr>
      <w:r>
        <w:rPr>
          <w:rFonts w:ascii="Arial" w:hAnsi="Arial"/>
          <w:b/>
          <w:i w:val="0"/>
          <w:color w:val="222244"/>
          <w:sz w:val="22"/>
        </w:rPr>
        <w:t>No Remedy, No Correction, No Justice</w:t>
      </w:r>
    </w:p>
    <w:p>
      <w:pPr>
        <w:spacing w:before="0" w:after="120"/>
        <w:jc w:val="both"/>
      </w:pPr>
      <w:r>
        <w:rPr>
          <w:rFonts w:ascii="Arial" w:hAnsi="Arial"/>
          <w:b w:val="0"/>
          <w:i w:val="0"/>
          <w:color w:val="000000"/>
          <w:sz w:val="21"/>
        </w:rPr>
        <w:t>Congress has never passed reparations legislation for the descendants of enslaved persons. H.R. 40 — a bill to study reparations, not even to provide them — has been introduced in every Congress since 1989 and has never received a floor vote. The enterprise that committed the crimes controls the legislature that would authorize the remedy. The remedy has not come.</w:t>
      </w:r>
    </w:p>
    <w:p>
      <w:pPr>
        <w:spacing w:before="0" w:after="120"/>
        <w:jc w:val="both"/>
      </w:pPr>
      <w:r>
        <w:rPr>
          <w:rFonts w:ascii="Arial" w:hAnsi="Arial"/>
          <w:b w:val="0"/>
          <w:i w:val="0"/>
          <w:color w:val="000000"/>
          <w:sz w:val="21"/>
        </w:rPr>
        <w:t>No federal official has been prosecuted for the crimes of slavery, for the Black Codes, for the convict leasing system, for the lynching era, for the systematic destruction of Black wealth through redlining and discriminatory lending, or for the ongoing racial disparities in criminal enforcement that constitute the continuing badges and incidents of slavery. Not one prosecution. Not one conviction. Not one sentence.</w:t>
      </w:r>
    </w:p>
    <w:p>
      <w:pPr>
        <w:spacing w:before="0" w:after="120"/>
        <w:jc w:val="both"/>
      </w:pPr>
      <w:r>
        <w:rPr>
          <w:rFonts w:ascii="Arial" w:hAnsi="Arial"/>
          <w:b w:val="0"/>
          <w:i w:val="0"/>
          <w:color w:val="000000"/>
          <w:sz w:val="21"/>
        </w:rPr>
        <w:t>The Supreme Court that gutted the Fourteenth Amendment in the Slaughterhouse Cases has never overruled those cases to restore the full protective scope the Amendment's framers intended. The Court that decided Plessy v. Ferguson took 58 years to overrule it. In those 58 years, the living beings subjected to separate and unequal treatment received no remedy for those years. The overruling of a wrong decision does not compensate the generations who lived under it.</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United States Senate Resolution 39, June 13, 2005 (Civil Rights Era Apology) — </w:t>
      </w:r>
      <w:r>
        <w:rPr>
          <w:rFonts w:ascii="Arial" w:hAnsi="Arial"/>
          <w:b w:val="0"/>
          <w:i/>
          <w:color w:val="555577"/>
          <w:sz w:val="19"/>
        </w:rPr>
        <w:t>The Senate apologized for its failure to enact anti-lynching legislation. No compensation was provided. No accountability was created. No structural change was required. The apology was a statement. The enterprise continued unchanged.</w:t>
      </w:r>
    </w:p>
    <w:p>
      <w:pPr>
        <w:spacing w:before="80" w:after="80"/>
        <w:ind w:left="432" w:right="432"/>
        <w:jc w:val="both"/>
      </w:pPr>
      <w:r>
        <w:rPr>
          <w:rFonts w:ascii="Arial" w:hAnsi="Arial"/>
          <w:b/>
          <w:i w:val="0"/>
          <w:color w:val="6B0020"/>
          <w:sz w:val="19"/>
        </w:rPr>
        <w:t xml:space="preserve">EVIDENCE: </w:t>
      </w:r>
      <w:r>
        <w:rPr>
          <w:rFonts w:ascii="Arial" w:hAnsi="Arial"/>
          <w:b/>
          <w:i w:val="0"/>
          <w:color w:val="222244"/>
          <w:sz w:val="19"/>
        </w:rPr>
        <w:t xml:space="preserve">H.R. 40, Commission to Study and Develop Reparation Proposals for African-Americans, introduced in every Congress since 1989 — </w:t>
      </w:r>
      <w:r>
        <w:rPr>
          <w:rFonts w:ascii="Arial" w:hAnsi="Arial"/>
          <w:b w:val="0"/>
          <w:i/>
          <w:color w:val="555577"/>
          <w:sz w:val="19"/>
        </w:rPr>
        <w:t>A bill to study the question of reparations has never received a floor vote in the House of Representatives. The enterprise that owes the debt controls the legislature that would authorize its payment. The accounting has not been done because the enterprise has the power to prevent it.</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crimes are documented. The perpetrator is identified. The victims and their descendants are present. The legal authority to provide remedy exists — in the Thirteenth Amendment's Enforcement Clause, in the Fourteenth Amendment's equal protection guarantee, in international human rights law, in the domestic courts' equitable powers. The remedy has not been provided because the enterprise that owes it controls every mechanism through which it could be compelled.</w:t>
      </w:r>
    </w:p>
    <w:p>
      <w:pPr>
        <w:spacing w:before="160" w:after="160"/>
        <w:ind w:left="288" w:right="288"/>
        <w:jc w:val="center"/>
      </w:pPr>
      <w:r>
        <w:rPr>
          <w:rFonts w:ascii="Arial" w:hAnsi="Arial"/>
          <w:b/>
          <w:i/>
          <w:color w:val="7A5C00"/>
          <w:sz w:val="22"/>
        </w:rPr>
        <w:t>No remedy. No correction. No justice. The absence of accountability is not an oversight. It is the enterprise's most important ongoing operation.</w:t>
      </w:r>
    </w:p>
    <w:p>
      <w:pPr>
        <w:spacing w:before="200" w:after="200"/>
        <w:jc w:val="center"/>
        <w:pBdr>
          <w:bottom w:val="single" w:sz="4" w:space="1" w:color="1a1a2e"/>
        </w:pBdr>
      </w:pPr>
    </w:p>
    <w:p>
      <w:r>
        <w:br w:type="page"/>
      </w:r>
    </w:p>
    <w:p>
      <w:pPr>
        <w:spacing w:before="320" w:after="80"/>
        <w:jc w:val="left"/>
        <w:pBdr>
          <w:bottom w:val="single" w:sz="5" w:space="1" w:color="1a1a2e"/>
        </w:pBdr>
      </w:pPr>
      <w:r>
        <w:rPr>
          <w:rFonts w:ascii="Arial" w:hAnsi="Arial"/>
          <w:b/>
          <w:i w:val="0"/>
          <w:color w:val="1A1A2E"/>
          <w:sz w:val="24"/>
        </w:rPr>
        <w:t>THE LIVING BEING'S GROUND</w:t>
      </w:r>
    </w:p>
    <w:p>
      <w:pPr>
        <w:spacing w:before="200" w:after="60"/>
        <w:jc w:val="left"/>
      </w:pPr>
      <w:r>
        <w:rPr>
          <w:rFonts w:ascii="Arial" w:hAnsi="Arial"/>
          <w:b/>
          <w:i w:val="0"/>
          <w:color w:val="222244"/>
          <w:sz w:val="22"/>
        </w:rPr>
        <w:t>Standing Above a Compromised System</w:t>
      </w:r>
    </w:p>
    <w:p>
      <w:pPr>
        <w:spacing w:before="0" w:after="120"/>
        <w:jc w:val="both"/>
      </w:pPr>
      <w:r>
        <w:rPr>
          <w:rFonts w:ascii="Arial" w:hAnsi="Arial"/>
          <w:b w:val="0"/>
          <w:i w:val="0"/>
          <w:color w:val="000000"/>
          <w:sz w:val="21"/>
        </w:rPr>
        <w:t>Nine counts. Each proven on the system's own evidence. Each supported by the system's own records. Each acknowledged, in whole or in part, by the system's own institutions. The founding was a crime. The charter protected the enterprise. The maritime infrastructure financed it. The amendments were corrupted. The courts serve it. The corporate state extracts from it. The crimes against humanity are documented. The enterprise continues. The accounting has never come.</w:t>
      </w:r>
    </w:p>
    <w:p>
      <w:pPr>
        <w:spacing w:before="0" w:after="120"/>
        <w:jc w:val="both"/>
      </w:pPr>
      <w:r>
        <w:rPr>
          <w:rFonts w:ascii="Arial" w:hAnsi="Arial"/>
          <w:b w:val="0"/>
          <w:i w:val="0"/>
          <w:color w:val="000000"/>
          <w:sz w:val="21"/>
        </w:rPr>
        <w:t>This Treatise does not conclude that the living being should reject all law. It concludes something more precise and more powerful: that the American legal system lacks the foundational legitimacy it claims — and that the living being who understands this is not bound by the system's claim to unconditional authority. They are bound only by the system's highest stated principles — the principles the system acknowledged it derived from a source higher than itself and cannot override.</w:t>
      </w:r>
    </w:p>
    <w:p>
      <w:pPr>
        <w:spacing w:before="0" w:after="120"/>
        <w:jc w:val="both"/>
      </w:pPr>
      <w:r>
        <w:rPr>
          <w:rFonts w:ascii="Arial" w:hAnsi="Arial"/>
          <w:b w:val="0"/>
          <w:i w:val="0"/>
          <w:color w:val="000000"/>
          <w:sz w:val="21"/>
        </w:rPr>
        <w:t>That source is the Creator. The Declaration of Independence — the document the criminals wrote to justify their treason — acknowledged it explicitly: all men are endowed by their Creator with certain unalienable rights. The judicial oath acknowledges it. The natural law tradition underlying the entire common law acknowledges it. The system admitted, in its own foundational language, that there is an authority above it that it did not create and cannot extinguish.</w:t>
      </w:r>
    </w:p>
    <w:p>
      <w:pPr>
        <w:spacing w:before="0" w:after="120"/>
        <w:jc w:val="both"/>
      </w:pPr>
      <w:r>
        <w:rPr>
          <w:rFonts w:ascii="Arial" w:hAnsi="Arial"/>
          <w:b w:val="0"/>
          <w:i w:val="0"/>
          <w:color w:val="000000"/>
          <w:sz w:val="21"/>
        </w:rPr>
        <w:t>The living being whose ancestors were classified as cargo under the admiralty jurisdiction the criminals constitutionalized, whose freedom was re-enslaved through the punishment exception within eighteen days of its grant, whose equal protection was gutted by the courts within five years of its promise, who continues to experience the enterprise's ongoing enforcement — that living being has standing that does not derive from the compromised system. They have standing from the source the system itself acknowledged: the Creator whose endowment of rights the system claimed to protect and has consistently failed to deliver.</w:t>
      </w:r>
    </w:p>
    <w:p>
      <w:pPr>
        <w:spacing w:before="0" w:after="200"/>
        <w:jc w:val="both"/>
      </w:pPr>
      <w:r>
        <w:rPr>
          <w:rFonts w:ascii="Arial" w:hAnsi="Arial"/>
          <w:b w:val="0"/>
          <w:i w:val="0"/>
          <w:color w:val="000000"/>
          <w:sz w:val="21"/>
        </w:rPr>
        <w:t>This is not a rejection of law. It is the most demanding possible engagement with it: holding the system to its own highest stated principles, demanding that it honor its own foundational admissions, and refusing to accept the system's claim to unconditional authority from a living being whose ancestors' entire experience of that system has been as its victims rather than its beneficiaries.</w:t>
      </w:r>
    </w:p>
    <w:p>
      <w:pPr>
        <w:spacing w:before="0" w:after="280"/>
        <w:jc w:val="both"/>
      </w:pPr>
      <w:r>
        <w:rPr>
          <w:rFonts w:ascii="Arial" w:hAnsi="Arial"/>
          <w:b w:val="0"/>
          <w:i w:val="0"/>
          <w:color w:val="000000"/>
          <w:sz w:val="21"/>
        </w:rPr>
        <w:t>The Declaration of Standing, the Formal Legal Doctrine, the Sovereign Self Legal Defense Series, and the Counter-Canon are the instruments of this engagement. They do not ask the system for permission. They demand that the system honor what it said about itself at its founding — knowing that it cannot, knowing that the gap between its stated principles and its actual operation is the living being's legal ground, and knowing that the truth, stated precisely and persistently in the system's own language, is the most powerful force available against an enterprise that has always depended on the living being not knowing what you now know.</w:t>
      </w:r>
    </w:p>
    <w:p>
      <w:pPr>
        <w:spacing w:before="120" w:after="80"/>
        <w:jc w:val="center"/>
      </w:pPr>
      <w:r>
        <w:rPr>
          <w:rFonts w:ascii="Arial" w:hAnsi="Arial"/>
          <w:b/>
          <w:i/>
          <w:color w:val="1A1A2E"/>
          <w:sz w:val="26"/>
        </w:rPr>
        <w:t>The law belongs to the people.</w:t>
      </w:r>
    </w:p>
    <w:p>
      <w:pPr>
        <w:spacing w:before="0" w:after="80"/>
        <w:jc w:val="center"/>
      </w:pPr>
      <w:r>
        <w:rPr>
          <w:rFonts w:ascii="Arial" w:hAnsi="Arial"/>
          <w:b w:val="0"/>
          <w:i/>
          <w:color w:val="222244"/>
          <w:sz w:val="22"/>
        </w:rPr>
        <w:t>The enterprise claimed it. The Counter-Canon reclaims it.</w:t>
      </w:r>
    </w:p>
    <w:p>
      <w:pPr>
        <w:spacing w:before="0" w:after="80"/>
        <w:jc w:val="center"/>
      </w:pPr>
      <w:r>
        <w:rPr>
          <w:rFonts w:ascii="Arial" w:hAnsi="Arial"/>
          <w:b w:val="0"/>
          <w:i/>
          <w:color w:val="222244"/>
          <w:sz w:val="22"/>
        </w:rPr>
        <w:t>One word at a time. One living being at a time.</w:t>
      </w:r>
    </w:p>
    <w:p>
      <w:pPr>
        <w:spacing w:before="0" w:after="280"/>
        <w:jc w:val="center"/>
      </w:pPr>
      <w:r>
        <w:rPr>
          <w:rFonts w:ascii="Arial" w:hAnsi="Arial"/>
          <w:b w:val="0"/>
          <w:i/>
          <w:color w:val="7A5C00"/>
          <w:sz w:val="22"/>
        </w:rPr>
        <w:t>For as long as the work requires.</w:t>
      </w:r>
    </w:p>
    <w:p>
      <w:pPr>
        <w:spacing w:before="80" w:after="120"/>
        <w:jc w:val="center"/>
        <w:pBdr>
          <w:bottom w:val="single" w:sz="4" w:space="1" w:color="1a1a2e"/>
        </w:pBdr>
      </w:pP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40"/>
        <w:jc w:val="center"/>
      </w:pPr>
      <w:r>
        <w:rPr>
          <w:rFonts w:ascii="Arial" w:hAnsi="Arial"/>
          <w:b w:val="0"/>
          <w:i/>
          <w:color w:val="555577"/>
          <w:sz w:val="18"/>
        </w:rPr>
        <w:t>Author: The Sovereign Self: Reclaiming Divine Intent in Law and Governance</w:t>
      </w:r>
    </w:p>
    <w:p>
      <w:pPr>
        <w:spacing w:before="0" w:after="40"/>
        <w:jc w:val="center"/>
      </w:pPr>
      <w:r>
        <w:rPr>
          <w:rFonts w:ascii="Arial" w:hAnsi="Arial"/>
          <w:b w:val="0"/>
          <w:i/>
          <w:color w:val="555577"/>
          <w:sz w:val="18"/>
        </w:rPr>
        <w:t>The Counter-Canon: A Dictionary of Living Law</w:t>
      </w:r>
    </w:p>
    <w:p>
      <w:pPr>
        <w:spacing w:before="0" w:after="160"/>
        <w:jc w:val="center"/>
      </w:pPr>
      <w:r>
        <w:rPr>
          <w:rFonts w:ascii="Arial" w:hAnsi="Arial"/>
          <w:b w:val="0"/>
          <w:i/>
          <w:color w:val="555577"/>
          <w:sz w:val="18"/>
        </w:rPr>
        <w:t>The Founding Crime: A Jurisprudential Indictment of the American Legal System</w:t>
      </w:r>
    </w:p>
    <w:p>
      <w:r>
        <w:br w:type="page"/>
      </w:r>
    </w:p>
    <w:p>
      <w:pPr>
        <w:spacing w:before="0" w:after="120"/>
        <w:jc w:val="center"/>
      </w:pPr>
      <w:r>
        <w:rPr>
          <w:rFonts w:ascii="Arial" w:hAnsi="Arial"/>
          <w:b/>
          <w:i w:val="0"/>
          <w:color w:val="1A1A2E"/>
          <w:sz w:val="24"/>
        </w:rPr>
        <w:t>TABLE OF AUTHORITIES</w:t>
      </w:r>
    </w:p>
    <w:p>
      <w:pPr>
        <w:spacing w:before="200" w:after="60"/>
        <w:jc w:val="left"/>
        <w:pBdr>
          <w:bottom w:val="single" w:sz="3" w:space="1" w:color="444466"/>
        </w:pBdr>
      </w:pPr>
      <w:r>
        <w:rPr>
          <w:rFonts w:ascii="Arial" w:hAnsi="Arial"/>
          <w:b/>
          <w:i w:val="0"/>
          <w:color w:val="222244"/>
          <w:sz w:val="22"/>
        </w:rPr>
        <w:t>Constitutional Provisions</w:t>
      </w:r>
    </w:p>
    <w:p>
      <w:pPr>
        <w:pStyle w:val="ListBullet"/>
        <w:spacing w:after="60"/>
        <w:ind w:left="576"/>
      </w:pPr>
      <w:r>
        <w:rPr>
          <w:rFonts w:ascii="Arial" w:hAnsi="Arial"/>
          <w:sz w:val="21"/>
        </w:rPr>
        <w:t>U.S. Const. Art. I, Sec. 2, Cl. 3 (Three-Fifths Clause)</w:t>
      </w:r>
    </w:p>
    <w:p>
      <w:pPr>
        <w:pStyle w:val="ListBullet"/>
        <w:spacing w:after="60"/>
        <w:ind w:left="576"/>
      </w:pPr>
      <w:r>
        <w:rPr>
          <w:rFonts w:ascii="Arial" w:hAnsi="Arial"/>
          <w:sz w:val="21"/>
        </w:rPr>
        <w:t>U.S. Const. Art. I, Sec. 9, Cl. 1 (Slave Trade Protection Clause)</w:t>
      </w:r>
    </w:p>
    <w:p>
      <w:pPr>
        <w:pStyle w:val="ListBullet"/>
        <w:spacing w:after="60"/>
        <w:ind w:left="576"/>
      </w:pPr>
      <w:r>
        <w:rPr>
          <w:rFonts w:ascii="Arial" w:hAnsi="Arial"/>
          <w:sz w:val="21"/>
        </w:rPr>
        <w:t>U.S. Const. Art. III, Sec. 2 (Admiralty Jurisdiction)</w:t>
      </w:r>
    </w:p>
    <w:p>
      <w:pPr>
        <w:pStyle w:val="ListBullet"/>
        <w:spacing w:after="60"/>
        <w:ind w:left="576"/>
      </w:pPr>
      <w:r>
        <w:rPr>
          <w:rFonts w:ascii="Arial" w:hAnsi="Arial"/>
          <w:sz w:val="21"/>
        </w:rPr>
        <w:t>U.S. Const. Art. IV, Sec. 2, Cl. 3 (Fugitive Slave Clause)</w:t>
      </w:r>
    </w:p>
    <w:p>
      <w:pPr>
        <w:pStyle w:val="ListBullet"/>
        <w:spacing w:after="60"/>
        <w:ind w:left="576"/>
      </w:pPr>
      <w:r>
        <w:rPr>
          <w:rFonts w:ascii="Arial" w:hAnsi="Arial"/>
          <w:sz w:val="21"/>
        </w:rPr>
        <w:t>U.S. Const. amend. XIII (Abolition of Slavery; Punishment Exception)</w:t>
      </w:r>
    </w:p>
    <w:p>
      <w:pPr>
        <w:pStyle w:val="ListBullet"/>
        <w:spacing w:after="60"/>
        <w:ind w:left="576"/>
      </w:pPr>
      <w:r>
        <w:rPr>
          <w:rFonts w:ascii="Arial" w:hAnsi="Arial"/>
          <w:sz w:val="21"/>
        </w:rPr>
        <w:t>U.S. Const. amend. XIV (Equal Protection; Due Process)</w:t>
      </w:r>
    </w:p>
    <w:p>
      <w:pPr>
        <w:pStyle w:val="ListBullet"/>
        <w:spacing w:after="60"/>
        <w:ind w:left="576"/>
      </w:pPr>
      <w:r>
        <w:rPr>
          <w:rFonts w:ascii="Arial" w:hAnsi="Arial"/>
          <w:sz w:val="21"/>
        </w:rPr>
        <w:t>Declaration of Independence (1776): endowed by their Creator with certain unalienable Rights</w:t>
      </w:r>
    </w:p>
    <w:p>
      <w:pPr>
        <w:spacing w:before="200" w:after="60"/>
        <w:jc w:val="left"/>
        <w:pBdr>
          <w:bottom w:val="single" w:sz="3" w:space="1" w:color="444466"/>
        </w:pBdr>
      </w:pPr>
      <w:r>
        <w:rPr>
          <w:rFonts w:ascii="Arial" w:hAnsi="Arial"/>
          <w:b/>
          <w:i w:val="0"/>
          <w:color w:val="222244"/>
          <w:sz w:val="22"/>
        </w:rPr>
        <w:t>United States Supreme Court Cases</w:t>
      </w:r>
    </w:p>
    <w:p>
      <w:pPr>
        <w:pStyle w:val="ListBullet"/>
        <w:spacing w:after="60"/>
        <w:ind w:left="576"/>
      </w:pPr>
      <w:r>
        <w:rPr>
          <w:rFonts w:ascii="Arial" w:hAnsi="Arial"/>
          <w:sz w:val="21"/>
        </w:rPr>
        <w:t>Dred Scott v. Sandford, 60 U.S. 393 (1857) (overruled)</w:t>
      </w:r>
    </w:p>
    <w:p>
      <w:pPr>
        <w:pStyle w:val="ListBullet"/>
        <w:spacing w:after="60"/>
        <w:ind w:left="576"/>
      </w:pPr>
      <w:r>
        <w:rPr>
          <w:rFonts w:ascii="Arial" w:hAnsi="Arial"/>
          <w:sz w:val="21"/>
        </w:rPr>
        <w:t>Jones v. Alfred H. Mayer Co., 392 U.S. 409 (1968)</w:t>
      </w:r>
    </w:p>
    <w:p>
      <w:pPr>
        <w:pStyle w:val="ListBullet"/>
        <w:spacing w:after="60"/>
        <w:ind w:left="576"/>
      </w:pPr>
      <w:r>
        <w:rPr>
          <w:rFonts w:ascii="Arial" w:hAnsi="Arial"/>
          <w:sz w:val="21"/>
        </w:rPr>
        <w:t>Loper Bright Enterprises v. Raimondo, 603 U.S. ___ (2024)</w:t>
      </w:r>
    </w:p>
    <w:p>
      <w:pPr>
        <w:pStyle w:val="ListBullet"/>
        <w:spacing w:after="60"/>
        <w:ind w:left="576"/>
      </w:pPr>
      <w:r>
        <w:rPr>
          <w:rFonts w:ascii="Arial" w:hAnsi="Arial"/>
          <w:sz w:val="21"/>
        </w:rPr>
        <w:t>Marbury v. Madison, 5 U.S. 137 (1803)</w:t>
      </w:r>
    </w:p>
    <w:p>
      <w:pPr>
        <w:pStyle w:val="ListBullet"/>
        <w:spacing w:after="60"/>
        <w:ind w:left="576"/>
      </w:pPr>
      <w:r>
        <w:rPr>
          <w:rFonts w:ascii="Arial" w:hAnsi="Arial"/>
          <w:sz w:val="21"/>
        </w:rPr>
        <w:t>Plessy v. Ferguson, 163 U.S. 537 (1896) (overruled)</w:t>
      </w:r>
    </w:p>
    <w:p>
      <w:pPr>
        <w:pStyle w:val="ListBullet"/>
        <w:spacing w:after="60"/>
        <w:ind w:left="576"/>
      </w:pPr>
      <w:r>
        <w:rPr>
          <w:rFonts w:ascii="Arial" w:hAnsi="Arial"/>
          <w:sz w:val="21"/>
        </w:rPr>
        <w:t>Shelby County v. Holder, 570 U.S. 529 (2013)</w:t>
      </w:r>
    </w:p>
    <w:p>
      <w:pPr>
        <w:pStyle w:val="ListBullet"/>
        <w:spacing w:after="60"/>
        <w:ind w:left="576"/>
      </w:pPr>
      <w:r>
        <w:rPr>
          <w:rFonts w:ascii="Arial" w:hAnsi="Arial"/>
          <w:sz w:val="21"/>
        </w:rPr>
        <w:t>The Civil Rights Cases, 109 U.S. 3 (1883)</w:t>
      </w:r>
    </w:p>
    <w:p>
      <w:pPr>
        <w:pStyle w:val="ListBullet"/>
        <w:spacing w:after="60"/>
        <w:ind w:left="576"/>
      </w:pPr>
      <w:r>
        <w:rPr>
          <w:rFonts w:ascii="Arial" w:hAnsi="Arial"/>
          <w:sz w:val="21"/>
        </w:rPr>
        <w:t>The Slaughterhouse Cases, 83 U.S. 36 (1873)</w:t>
      </w:r>
    </w:p>
    <w:p>
      <w:pPr>
        <w:pStyle w:val="ListBullet"/>
        <w:spacing w:after="60"/>
        <w:ind w:left="576"/>
      </w:pPr>
      <w:r>
        <w:rPr>
          <w:rFonts w:ascii="Arial" w:hAnsi="Arial"/>
          <w:sz w:val="21"/>
        </w:rPr>
        <w:t>Tumey v. Ohio, 273 U.S. 510 (1927)</w:t>
      </w:r>
    </w:p>
    <w:p>
      <w:pPr>
        <w:pStyle w:val="ListBullet"/>
        <w:spacing w:after="60"/>
        <w:ind w:left="576"/>
      </w:pPr>
      <w:r>
        <w:rPr>
          <w:rFonts w:ascii="Arial" w:hAnsi="Arial"/>
          <w:sz w:val="21"/>
        </w:rPr>
        <w:t>West Virginia v. EPA, 597 U.S. 697 (2022)</w:t>
      </w:r>
    </w:p>
    <w:p>
      <w:pPr>
        <w:spacing w:before="200" w:after="60"/>
        <w:jc w:val="left"/>
        <w:pBdr>
          <w:bottom w:val="single" w:sz="3" w:space="1" w:color="444466"/>
        </w:pBdr>
      </w:pPr>
      <w:r>
        <w:rPr>
          <w:rFonts w:ascii="Arial" w:hAnsi="Arial"/>
          <w:b/>
          <w:i w:val="0"/>
          <w:color w:val="222244"/>
          <w:sz w:val="22"/>
        </w:rPr>
        <w:t>Federal Statutes and Historical Documents</w:t>
      </w:r>
    </w:p>
    <w:p>
      <w:pPr>
        <w:pStyle w:val="ListBullet"/>
        <w:spacing w:after="60"/>
        <w:ind w:left="576"/>
      </w:pPr>
      <w:r>
        <w:rPr>
          <w:rFonts w:ascii="Arial" w:hAnsi="Arial"/>
          <w:sz w:val="21"/>
        </w:rPr>
        <w:t>Indian Removal Act of 1830, 4 Stat. 411</w:t>
      </w:r>
    </w:p>
    <w:p>
      <w:pPr>
        <w:pStyle w:val="ListBullet"/>
        <w:spacing w:after="60"/>
        <w:ind w:left="576"/>
      </w:pPr>
      <w:r>
        <w:rPr>
          <w:rFonts w:ascii="Arial" w:hAnsi="Arial"/>
          <w:sz w:val="21"/>
        </w:rPr>
        <w:t>Statute of Treasons of 1351 (English law operative in colonies)</w:t>
      </w:r>
    </w:p>
    <w:p>
      <w:pPr>
        <w:pStyle w:val="ListBullet"/>
        <w:spacing w:after="60"/>
        <w:ind w:left="576"/>
      </w:pPr>
      <w:r>
        <w:rPr>
          <w:rFonts w:ascii="Arial" w:hAnsi="Arial"/>
          <w:sz w:val="21"/>
        </w:rPr>
        <w:t>Black Codes of Mississippi (1865)</w:t>
      </w:r>
    </w:p>
    <w:p>
      <w:pPr>
        <w:pStyle w:val="ListBullet"/>
        <w:spacing w:after="60"/>
        <w:ind w:left="576"/>
      </w:pPr>
      <w:r>
        <w:rPr>
          <w:rFonts w:ascii="Arial" w:hAnsi="Arial"/>
          <w:sz w:val="21"/>
        </w:rPr>
        <w:t>Civil Rights Act of 1875 (struck down, Civil Rights Cases)</w:t>
      </w:r>
    </w:p>
    <w:p>
      <w:pPr>
        <w:pStyle w:val="ListBullet"/>
        <w:spacing w:after="60"/>
        <w:ind w:left="576"/>
      </w:pPr>
      <w:r>
        <w:rPr>
          <w:rFonts w:ascii="Arial" w:hAnsi="Arial"/>
          <w:sz w:val="21"/>
        </w:rPr>
        <w:t>District of Columbia Organic Act of 1871</w:t>
      </w:r>
    </w:p>
    <w:p>
      <w:pPr>
        <w:pStyle w:val="ListBullet"/>
        <w:spacing w:after="60"/>
        <w:ind w:left="576"/>
      </w:pPr>
      <w:r>
        <w:rPr>
          <w:rFonts w:ascii="Arial" w:hAnsi="Arial"/>
          <w:sz w:val="21"/>
        </w:rPr>
        <w:t>H.R. 40, Commission to Study Reparation Proposals (introduced each Congress since 1989)</w:t>
      </w:r>
    </w:p>
    <w:p>
      <w:pPr>
        <w:pStyle w:val="ListBullet"/>
        <w:spacing w:after="60"/>
        <w:ind w:left="576"/>
      </w:pPr>
      <w:r>
        <w:rPr>
          <w:rFonts w:ascii="Arial" w:hAnsi="Arial"/>
          <w:sz w:val="21"/>
        </w:rPr>
        <w:t>United States Senate Resolution 39 (2005): Apology for failure to enact anti-lynching legislation</w:t>
      </w:r>
    </w:p>
    <w:p>
      <w:pPr>
        <w:pStyle w:val="ListBullet"/>
        <w:spacing w:after="60"/>
        <w:ind w:left="576"/>
      </w:pPr>
      <w:r>
        <w:rPr>
          <w:rFonts w:ascii="Arial" w:hAnsi="Arial"/>
          <w:sz w:val="21"/>
        </w:rPr>
        <w:t>Rome Statute of the International Criminal Court, Article 7 (Crimes Against Humanity)</w:t>
      </w:r>
    </w:p>
    <w:p>
      <w:pPr>
        <w:spacing w:before="200" w:after="60"/>
        <w:jc w:val="left"/>
        <w:pBdr>
          <w:bottom w:val="single" w:sz="3" w:space="1" w:color="444466"/>
        </w:pBdr>
      </w:pPr>
      <w:r>
        <w:rPr>
          <w:rFonts w:ascii="Arial" w:hAnsi="Arial"/>
          <w:b/>
          <w:i w:val="0"/>
          <w:color w:val="222244"/>
          <w:sz w:val="22"/>
        </w:rPr>
        <w:t>Documentary Evidence Sources</w:t>
      </w:r>
    </w:p>
    <w:p>
      <w:pPr>
        <w:pStyle w:val="ListBullet"/>
        <w:spacing w:after="60"/>
        <w:ind w:left="576"/>
      </w:pPr>
      <w:r>
        <w:rPr>
          <w:rFonts w:ascii="Arial" w:hAnsi="Arial"/>
          <w:sz w:val="21"/>
        </w:rPr>
        <w:t>Trans-Atlantic Slave Trade Database (slavevoyages.org): 36,000+ documented voyages</w:t>
      </w:r>
    </w:p>
    <w:p>
      <w:pPr>
        <w:pStyle w:val="ListBullet"/>
        <w:spacing w:after="60"/>
        <w:ind w:left="576"/>
      </w:pPr>
      <w:r>
        <w:rPr>
          <w:rFonts w:ascii="Arial" w:hAnsi="Arial"/>
          <w:sz w:val="21"/>
        </w:rPr>
        <w:t>Stanford Open Policing Project (2019): 100 million traffic stops analyzed</w:t>
      </w:r>
    </w:p>
    <w:p>
      <w:pPr>
        <w:pStyle w:val="ListBullet"/>
        <w:spacing w:after="60"/>
        <w:ind w:left="576"/>
      </w:pPr>
      <w:r>
        <w:rPr>
          <w:rFonts w:ascii="Arial" w:hAnsi="Arial"/>
          <w:sz w:val="21"/>
        </w:rPr>
        <w:t>Bureau of Justice Statistics, Prisoners in 2022</w:t>
      </w:r>
    </w:p>
    <w:p>
      <w:pPr>
        <w:pStyle w:val="ListBullet"/>
        <w:spacing w:after="60"/>
        <w:ind w:left="576"/>
      </w:pPr>
      <w:r>
        <w:rPr>
          <w:rFonts w:ascii="Arial" w:hAnsi="Arial"/>
          <w:sz w:val="21"/>
        </w:rPr>
        <w:t>Prison Policy Initiative, Prison Labor Report (2022)</w:t>
      </w:r>
    </w:p>
    <w:p>
      <w:pPr>
        <w:pStyle w:val="ListBullet"/>
        <w:spacing w:after="60"/>
        <w:ind w:left="576"/>
      </w:pPr>
      <w:r>
        <w:rPr>
          <w:rFonts w:ascii="Arial" w:hAnsi="Arial"/>
          <w:sz w:val="21"/>
        </w:rPr>
        <w:t>Federal Reserve Survey of Consumer Finances (2022): racial wealth gap</w:t>
      </w:r>
    </w:p>
    <w:p>
      <w:pPr>
        <w:pStyle w:val="ListBullet"/>
        <w:spacing w:after="60"/>
        <w:ind w:left="576"/>
      </w:pPr>
      <w:r>
        <w:rPr>
          <w:rFonts w:ascii="Arial" w:hAnsi="Arial"/>
          <w:sz w:val="21"/>
        </w:rPr>
        <w:t>Administrative Office of the United States Courts, Annual Reports</w:t>
      </w:r>
    </w:p>
    <w:p>
      <w:pPr>
        <w:pStyle w:val="ListBullet"/>
        <w:spacing w:after="60"/>
        <w:ind w:left="576"/>
      </w:pPr>
      <w:r>
        <w:rPr>
          <w:rFonts w:ascii="Arial" w:hAnsi="Arial"/>
          <w:sz w:val="21"/>
        </w:rPr>
        <w:t>Department of Justice, Asset Forfeiture Fund Statistics</w:t>
      </w:r>
    </w:p>
    <w:p>
      <w:pPr>
        <w:pStyle w:val="ListBullet"/>
        <w:spacing w:after="60"/>
        <w:ind w:left="576"/>
      </w:pPr>
      <w:r>
        <w:rPr>
          <w:rFonts w:ascii="Arial" w:hAnsi="Arial"/>
          <w:sz w:val="21"/>
        </w:rPr>
        <w:t>NAACP Lynching Statistics, 1877-1950: 4,700+ documented lynchings</w:t>
      </w:r>
    </w:p>
    <w:p>
      <w:pPr>
        <w:pStyle w:val="ListBullet"/>
        <w:spacing w:after="60"/>
        <w:ind w:left="576"/>
      </w:pPr>
      <w:r>
        <w:rPr>
          <w:rFonts w:ascii="Arial" w:hAnsi="Arial"/>
          <w:sz w:val="21"/>
        </w:rPr>
        <w:t>Douglas Blackmon, Slavery by Another Name (2008, Pulitzer Prize)</w:t>
      </w:r>
    </w:p>
    <w:p>
      <w:pPr>
        <w:pStyle w:val="ListBullet"/>
        <w:spacing w:after="60"/>
        <w:ind w:left="576"/>
      </w:pPr>
      <w:r>
        <w:rPr>
          <w:rFonts w:ascii="Arial" w:hAnsi="Arial"/>
          <w:sz w:val="21"/>
        </w:rPr>
        <w:t>Gregson v. Gilbert (The Zong Case), 99 Eng. Rep. 629 (K.B. 1783)</w:t>
      </w:r>
    </w:p>
    <w:p>
      <w:pPr>
        <w:pStyle w:val="ListBullet"/>
        <w:spacing w:after="60"/>
        <w:ind w:left="576"/>
      </w:pPr>
      <w:r>
        <w:rPr>
          <w:rFonts w:ascii="Arial" w:hAnsi="Arial"/>
          <w:sz w:val="21"/>
        </w:rPr>
        <w:t>United States DUNS Number: 052714196</w:t>
      </w:r>
    </w:p>
    <w:p>
      <w:pPr>
        <w:spacing w:before="200" w:after="60"/>
        <w:jc w:val="left"/>
        <w:pBdr>
          <w:bottom w:val="single" w:sz="3" w:space="1" w:color="444466"/>
        </w:pBdr>
      </w:pPr>
      <w:r>
        <w:rPr>
          <w:rFonts w:ascii="Arial" w:hAnsi="Arial"/>
          <w:b/>
          <w:i w:val="0"/>
          <w:color w:val="222244"/>
          <w:sz w:val="22"/>
        </w:rPr>
        <w:t>The Odyssey-1 System: Complete Works</w:t>
      </w:r>
    </w:p>
    <w:p>
      <w:pPr>
        <w:pStyle w:val="ListBullet"/>
        <w:spacing w:after="60"/>
        <w:ind w:left="576"/>
      </w:pPr>
      <w:r>
        <w:rPr>
          <w:rFonts w:ascii="Arial" w:hAnsi="Arial"/>
          <w:sz w:val="21"/>
        </w:rPr>
        <w:t>Rickey Allan Howard, Declaration of Standing (2026)</w:t>
      </w:r>
    </w:p>
    <w:p>
      <w:pPr>
        <w:pStyle w:val="ListBullet"/>
        <w:spacing w:after="60"/>
        <w:ind w:left="576"/>
      </w:pPr>
      <w:r>
        <w:rPr>
          <w:rFonts w:ascii="Arial" w:hAnsi="Arial"/>
          <w:sz w:val="21"/>
        </w:rPr>
        <w:t>Rickey Allan Howard, The Formal Legal Doctrine: The Doctrine of Pre-Political Sovereign Being (2026)</w:t>
      </w:r>
    </w:p>
    <w:p>
      <w:pPr>
        <w:pStyle w:val="ListBullet"/>
        <w:spacing w:after="60"/>
        <w:ind w:left="576"/>
      </w:pPr>
      <w:r>
        <w:rPr>
          <w:rFonts w:ascii="Arial" w:hAnsi="Arial"/>
          <w:sz w:val="21"/>
        </w:rPr>
        <w:t>Rickey Allan Howard, Sovereign Self Legal Defense Series, Toolkits One through Seven (2026)</w:t>
      </w:r>
    </w:p>
    <w:p>
      <w:pPr>
        <w:pStyle w:val="ListBullet"/>
        <w:spacing w:after="60"/>
        <w:ind w:left="576"/>
      </w:pPr>
      <w:r>
        <w:rPr>
          <w:rFonts w:ascii="Arial" w:hAnsi="Arial"/>
          <w:sz w:val="21"/>
        </w:rPr>
        <w:t>Rickey Allan Howard, The Counter-Canon: A Dictionary of Living Law, Volumes One through Eight (2026)</w:t>
      </w:r>
    </w:p>
    <w:p>
      <w:pPr>
        <w:pStyle w:val="ListBullet"/>
        <w:spacing w:after="60"/>
        <w:ind w:left="576"/>
      </w:pPr>
      <w:r>
        <w:rPr>
          <w:rFonts w:ascii="Arial" w:hAnsi="Arial"/>
          <w:sz w:val="21"/>
        </w:rPr>
        <w:t>Rickey Allan Howard, Counter-Canon System Architecture and Operating Principles (2026)</w:t>
      </w:r>
    </w:p>
    <w:p>
      <w:pPr>
        <w:pStyle w:val="ListBullet"/>
        <w:spacing w:after="60"/>
        <w:ind w:left="576"/>
      </w:pPr>
      <w:r>
        <w:rPr>
          <w:rFonts w:ascii="Arial" w:hAnsi="Arial"/>
          <w:sz w:val="21"/>
        </w:rPr>
        <w:t>Rickey Allan Howard, The Sovereign Self: Reclaiming Divine Intent in Law and Governance, Volumes I-VII (2025-2026)</w:t>
      </w:r>
    </w:p>
    <w:p>
      <w:pPr>
        <w:pStyle w:val="ListBullet"/>
        <w:spacing w:after="60"/>
        <w:ind w:left="576"/>
      </w:pPr>
      <w:r>
        <w:rPr>
          <w:rFonts w:ascii="Arial" w:hAnsi="Arial"/>
          <w:sz w:val="21"/>
        </w:rPr>
        <w:t>Rickey Allan Howard, The Unified Bio-Cosmic Generator Model (2026)</w:t>
      </w:r>
    </w:p>
    <w:p>
      <w:pPr>
        <w:pStyle w:val="ListBullet"/>
        <w:spacing w:after="60"/>
        <w:ind w:left="576"/>
      </w:pPr>
      <w:r>
        <w:rPr>
          <w:rFonts w:ascii="Arial" w:hAnsi="Arial"/>
          <w:sz w:val="21"/>
        </w:rPr>
        <w:t>Rickey Allan Howard, An Indictment (2025)</w:t>
      </w:r>
    </w:p>
    <w:p>
      <w:pPr>
        <w:pStyle w:val="ListBullet"/>
        <w:spacing w:after="60"/>
        <w:ind w:left="576"/>
      </w:pPr>
      <w:r>
        <w:rPr>
          <w:rFonts w:ascii="Arial" w:hAnsi="Arial"/>
          <w:sz w:val="21"/>
        </w:rPr>
        <w:t>Rickey Allan Howard, Argument Before the Honorable Justices of the Supreme Court (2025)</w:t>
      </w: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0"/>
        </w:rPr>
        <w:t>A NOTE ON THIS DOCUMENT'S PURPOSE</w:t>
      </w:r>
    </w:p>
    <w:p>
      <w:pPr>
        <w:spacing w:before="0" w:after="120"/>
        <w:jc w:val="both"/>
      </w:pPr>
      <w:r>
        <w:rPr>
          <w:rFonts w:ascii="Arial" w:hAnsi="Arial"/>
          <w:b w:val="0"/>
          <w:i w:val="0"/>
          <w:color w:val="000000"/>
          <w:sz w:val="21"/>
        </w:rPr>
        <w:t>This Treatise is a jurisprudential indictment, not a call to unlawful action. It is the system examined by its own evidentiary standards, measured against its own stated principles, and found lacking by its own evidence. Every claim is documented. Every source is identified. Every conclusion is drawn from the record the system itself created.</w:t>
      </w:r>
    </w:p>
    <w:p>
      <w:pPr>
        <w:spacing w:before="0" w:after="120"/>
        <w:jc w:val="both"/>
      </w:pPr>
      <w:r>
        <w:rPr>
          <w:rFonts w:ascii="Arial" w:hAnsi="Arial"/>
          <w:b w:val="0"/>
          <w:i w:val="0"/>
          <w:color w:val="000000"/>
          <w:sz w:val="21"/>
        </w:rPr>
        <w:t>The purpose of this document is not to encourage the living being to reject law. It is to give the living being the complete historical and legal context for the system they navigate — so that when they assert their rights, they understand what they are asserting them against; when they invoke the Constitution, they know its history; when they appear before a court, they understand the institution before which they stand; and when the system claims authority over them, they know precisely the foundation on which that claim rests and precisely where that foundation is compromised.</w:t>
      </w:r>
    </w:p>
    <w:p>
      <w:pPr>
        <w:spacing w:before="0" w:after="200"/>
        <w:jc w:val="center"/>
      </w:pPr>
      <w:r>
        <w:rPr>
          <w:rFonts w:ascii="Arial" w:hAnsi="Arial"/>
          <w:b w:val="0"/>
          <w:i/>
          <w:color w:val="222244"/>
          <w:sz w:val="21"/>
        </w:rPr>
        <w:t>Knowledge is the living being's most powerful instrument. This Treatise is that knowledge — complete, documented, and stated in the system's own language so that no court, no agency, and no institution can dismiss it as uninformed.</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 This document is part of the Odyssey-1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