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36"/>
        </w:rPr>
        <w:t>THE COUNTER-CANON</w:t>
      </w:r>
    </w:p>
    <w:p>
      <w:pPr>
        <w:spacing w:before="0" w:after="40"/>
        <w:jc w:val="center"/>
      </w:pPr>
      <w:r>
        <w:rPr>
          <w:rFonts w:ascii="Arial" w:hAnsi="Arial"/>
          <w:b w:val="0"/>
          <w:i/>
          <w:color w:val="222244"/>
          <w:sz w:val="26"/>
        </w:rPr>
        <w:t>A Dictionary of Living Law</w:t>
      </w:r>
    </w:p>
    <w:p>
      <w:pPr>
        <w:spacing w:before="120" w:after="120"/>
        <w:jc w:val="center"/>
        <w:pBdr>
          <w:bottom w:val="single" w:sz="10" w:space="1" w:color="1a1a2e"/>
        </w:pBdr>
      </w:pPr>
    </w:p>
    <w:p>
      <w:pPr>
        <w:spacing w:before="80" w:after="40"/>
        <w:jc w:val="center"/>
      </w:pPr>
      <w:r>
        <w:rPr>
          <w:rFonts w:ascii="Arial" w:hAnsi="Arial"/>
          <w:b/>
          <w:i w:val="0"/>
          <w:color w:val="1A1A2E"/>
          <w:sz w:val="24"/>
        </w:rPr>
        <w:t>VOLUME EIGHT</w:t>
      </w:r>
    </w:p>
    <w:p>
      <w:pPr>
        <w:spacing w:before="0" w:after="40"/>
        <w:jc w:val="center"/>
      </w:pPr>
      <w:r>
        <w:rPr>
          <w:rFonts w:ascii="Arial" w:hAnsi="Arial"/>
          <w:b w:val="0"/>
          <w:i w:val="0"/>
          <w:color w:val="555577"/>
          <w:sz w:val="22"/>
        </w:rPr>
        <w:t>A  |  B  |  C  |  F  |  J  |  L  |  O  |  P  |  R  |  S</w:t>
      </w:r>
    </w:p>
    <w:p>
      <w:pPr>
        <w:spacing w:before="0" w:after="20"/>
        <w:jc w:val="center"/>
      </w:pPr>
      <w:r>
        <w:rPr>
          <w:rFonts w:ascii="Arial" w:hAnsi="Arial"/>
          <w:b w:val="0"/>
          <w:i/>
          <w:color w:val="222244"/>
          <w:sz w:val="20"/>
        </w:rPr>
        <w:t>Attorney  |  Billing  |  Client  |  Contingency  |  Counsel</w:t>
      </w:r>
    </w:p>
    <w:p>
      <w:pPr>
        <w:spacing w:before="0" w:after="20"/>
        <w:jc w:val="center"/>
      </w:pPr>
      <w:r>
        <w:rPr>
          <w:rFonts w:ascii="Arial" w:hAnsi="Arial"/>
          <w:b w:val="0"/>
          <w:i/>
          <w:color w:val="222244"/>
          <w:sz w:val="20"/>
        </w:rPr>
        <w:t>Fee  |  Jargon  |  Lawyer  |  Officer of the Court  |  Privilege</w:t>
      </w:r>
    </w:p>
    <w:p>
      <w:pPr>
        <w:spacing w:before="0" w:after="160"/>
        <w:jc w:val="center"/>
      </w:pPr>
      <w:r>
        <w:rPr>
          <w:rFonts w:ascii="Arial" w:hAnsi="Arial"/>
          <w:b w:val="0"/>
          <w:i/>
          <w:color w:val="222244"/>
          <w:sz w:val="20"/>
        </w:rPr>
        <w:t>Pro Bono  |  Pro Se  |  Retainer  |  Solicitor</w:t>
      </w:r>
    </w:p>
    <w:p>
      <w:pPr>
        <w:spacing w:before="8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  |  First Edition</w:t>
      </w:r>
    </w:p>
    <w:p>
      <w:pPr>
        <w:spacing w:before="0" w:after="40"/>
        <w:jc w:val="center"/>
      </w:pPr>
      <w:r>
        <w:rPr>
          <w:rFonts w:ascii="Arial" w:hAnsi="Arial"/>
          <w:b/>
          <w:i/>
          <w:color w:val="5A3A00"/>
          <w:sz w:val="18"/>
        </w:rPr>
        <w:t>The Legal Profession Words</w:t>
      </w:r>
    </w:p>
    <w:p>
      <w:pPr>
        <w:spacing w:before="0" w:after="160"/>
        <w:jc w:val="center"/>
      </w:pPr>
      <w:r>
        <w:rPr>
          <w:rFonts w:ascii="Arial" w:hAnsi="Arial"/>
          <w:b w:val="0"/>
          <w:i/>
          <w:color w:val="555577"/>
          <w:sz w:val="18"/>
        </w:rPr>
        <w:t>Open Access  |  Claude API Powered  |  Amendment Record Architecture</w:t>
      </w:r>
    </w:p>
    <w:p>
      <w:r>
        <w:br w:type="page"/>
      </w:r>
    </w:p>
    <w:p>
      <w:pPr>
        <w:spacing w:before="0" w:after="120"/>
        <w:jc w:val="center"/>
      </w:pPr>
      <w:r>
        <w:rPr>
          <w:rFonts w:ascii="Arial" w:hAnsi="Arial"/>
          <w:b/>
          <w:i w:val="0"/>
          <w:color w:val="1A1A2E"/>
          <w:sz w:val="22"/>
        </w:rPr>
        <w:t>EDITOR'S NOTE: VOLUME EIGHT</w:t>
      </w:r>
    </w:p>
    <w:p>
      <w:pPr>
        <w:spacing w:before="0" w:after="120"/>
        <w:jc w:val="both"/>
      </w:pPr>
      <w:r>
        <w:rPr>
          <w:rFonts w:ascii="Arial" w:hAnsi="Arial"/>
          <w:b w:val="0"/>
          <w:i w:val="0"/>
          <w:color w:val="000000"/>
          <w:sz w:val="21"/>
        </w:rPr>
        <w:t>Volume Eight turns the Counter-Canon's lens on the profession itself. Every previous volume examined the law's vocabulary of power — the words used to define the living being, bind them, enforce against them, dispossess them, and govern their inner life. Volume Eight examines the vocabulary of the guild that stands between the living being and the law: the legal profession.</w:t>
      </w:r>
    </w:p>
    <w:p>
      <w:pPr>
        <w:spacing w:before="0" w:after="120"/>
        <w:jc w:val="both"/>
      </w:pPr>
      <w:r>
        <w:rPr>
          <w:rFonts w:ascii="Arial" w:hAnsi="Arial"/>
          <w:b w:val="0"/>
          <w:i w:val="0"/>
          <w:color w:val="000000"/>
          <w:sz w:val="21"/>
        </w:rPr>
        <w:t>Lawyer and attorney are not the same word. Most people believe they are interchangeable. They are not — and the difference is not a trivial technicality. It reveals something structural about the relationship between the living being and the person they hire to represent them: a divided loyalty that the system never discloses and that the living being almost never knows to ask about.</w:t>
      </w:r>
    </w:p>
    <w:p>
      <w:pPr>
        <w:spacing w:before="0" w:after="120"/>
        <w:jc w:val="both"/>
      </w:pPr>
      <w:r>
        <w:rPr>
          <w:rFonts w:ascii="Arial" w:hAnsi="Arial"/>
          <w:b w:val="0"/>
          <w:i w:val="0"/>
          <w:color w:val="000000"/>
          <w:sz w:val="21"/>
        </w:rPr>
        <w:t>Jargon. Billing. Retainer. Privilege. Client. These words describe a system that has positioned itself as the indispensable intermediary between the living being and their own legal rights — charging for the translation of a language it deliberately keeps obscure, billing by the hour in a system that rewards complexity and delay, and maintaining a monopoly on court access that is broken only by the living being's assertion of the most powerful two-word phrase in the legal vocabulary: Pro Se.</w:t>
      </w:r>
    </w:p>
    <w:p>
      <w:pPr>
        <w:spacing w:before="0" w:after="200"/>
        <w:jc w:val="center"/>
      </w:pPr>
      <w:r>
        <w:rPr>
          <w:rFonts w:ascii="Arial" w:hAnsi="Arial"/>
          <w:b w:val="0"/>
          <w:i/>
          <w:color w:val="222244"/>
          <w:sz w:val="21"/>
        </w:rPr>
        <w:t>Volume Eight names the system for what it is. And gives the living being the vocabulary to navigate it — or bypass it entirely.</w:t>
      </w:r>
    </w:p>
    <w:p>
      <w:pPr>
        <w:spacing w:before="80" w:after="40"/>
        <w:jc w:val="right"/>
      </w:pPr>
      <w:r>
        <w:rPr>
          <w:rFonts w:ascii="Arial" w:hAnsi="Arial"/>
          <w:b/>
          <w:i w:val="0"/>
          <w:color w:val="1A1A2E"/>
          <w:sz w:val="21"/>
        </w:rPr>
        <w:t>Rickey Allan Howard</w:t>
      </w:r>
    </w:p>
    <w:p>
      <w:pPr>
        <w:spacing w:before="0" w:after="120"/>
        <w:jc w:val="right"/>
      </w:pPr>
      <w:r>
        <w:rPr>
          <w:rFonts w:ascii="Arial" w:hAnsi="Arial"/>
          <w:b w:val="0"/>
          <w:i/>
          <w:color w:val="555577"/>
          <w:sz w:val="21"/>
        </w:rPr>
        <w:t>Athens, Georgia | 2026</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val="0"/>
          <w:i w:val="0"/>
          <w:color w:val="000000"/>
          <w:sz w:val="21"/>
        </w:rPr>
        <w:t>A  —  Attorney  /  Attorney at Law  /  Attorney-Client Relationship</w:t>
      </w:r>
    </w:p>
    <w:p>
      <w:pPr>
        <w:spacing w:before="40" w:after="40"/>
        <w:ind w:left="288"/>
        <w:jc w:val="left"/>
      </w:pPr>
      <w:r>
        <w:rPr>
          <w:rFonts w:ascii="Arial" w:hAnsi="Arial"/>
          <w:b w:val="0"/>
          <w:i w:val="0"/>
          <w:color w:val="000000"/>
          <w:sz w:val="21"/>
        </w:rPr>
        <w:t>B  —  Billing  /  Hourly Billing  /  Contingency Fee</w:t>
      </w:r>
    </w:p>
    <w:p>
      <w:pPr>
        <w:spacing w:before="40" w:after="40"/>
        <w:ind w:left="288"/>
        <w:jc w:val="left"/>
      </w:pPr>
      <w:r>
        <w:rPr>
          <w:rFonts w:ascii="Arial" w:hAnsi="Arial"/>
          <w:b w:val="0"/>
          <w:i w:val="0"/>
          <w:color w:val="000000"/>
          <w:sz w:val="21"/>
        </w:rPr>
        <w:t>C  —  Client</w:t>
      </w:r>
    </w:p>
    <w:p>
      <w:pPr>
        <w:spacing w:before="40" w:after="40"/>
        <w:ind w:left="288"/>
        <w:jc w:val="left"/>
      </w:pPr>
      <w:r>
        <w:rPr>
          <w:rFonts w:ascii="Arial" w:hAnsi="Arial"/>
          <w:b w:val="0"/>
          <w:i w:val="0"/>
          <w:color w:val="000000"/>
          <w:sz w:val="21"/>
        </w:rPr>
        <w:t>C  —  Counsel</w:t>
      </w:r>
    </w:p>
    <w:p>
      <w:pPr>
        <w:spacing w:before="40" w:after="40"/>
        <w:ind w:left="288"/>
        <w:jc w:val="left"/>
      </w:pPr>
      <w:r>
        <w:rPr>
          <w:rFonts w:ascii="Arial" w:hAnsi="Arial"/>
          <w:b w:val="0"/>
          <w:i w:val="0"/>
          <w:color w:val="000000"/>
          <w:sz w:val="21"/>
        </w:rPr>
        <w:t>F  —  Fee  /  Retainer</w:t>
      </w:r>
    </w:p>
    <w:p>
      <w:pPr>
        <w:spacing w:before="40" w:after="40"/>
        <w:ind w:left="288"/>
        <w:jc w:val="left"/>
      </w:pPr>
      <w:r>
        <w:rPr>
          <w:rFonts w:ascii="Arial" w:hAnsi="Arial"/>
          <w:b w:val="0"/>
          <w:i w:val="0"/>
          <w:color w:val="000000"/>
          <w:sz w:val="21"/>
        </w:rPr>
        <w:t>J  —  Jargon  (Legal Jargon)</w:t>
      </w:r>
    </w:p>
    <w:p>
      <w:pPr>
        <w:spacing w:before="40" w:after="40"/>
        <w:ind w:left="288"/>
        <w:jc w:val="left"/>
      </w:pPr>
      <w:r>
        <w:rPr>
          <w:rFonts w:ascii="Arial" w:hAnsi="Arial"/>
          <w:b w:val="0"/>
          <w:i w:val="0"/>
          <w:color w:val="000000"/>
          <w:sz w:val="21"/>
        </w:rPr>
        <w:t>L  —  Lawyer</w:t>
      </w:r>
    </w:p>
    <w:p>
      <w:pPr>
        <w:spacing w:before="40" w:after="40"/>
        <w:ind w:left="288"/>
        <w:jc w:val="left"/>
      </w:pPr>
      <w:r>
        <w:rPr>
          <w:rFonts w:ascii="Arial" w:hAnsi="Arial"/>
          <w:b w:val="0"/>
          <w:i w:val="0"/>
          <w:color w:val="000000"/>
          <w:sz w:val="21"/>
        </w:rPr>
        <w:t>O  —  Officer of the Court</w:t>
      </w:r>
    </w:p>
    <w:p>
      <w:pPr>
        <w:spacing w:before="40" w:after="40"/>
        <w:ind w:left="288"/>
        <w:jc w:val="left"/>
      </w:pPr>
      <w:r>
        <w:rPr>
          <w:rFonts w:ascii="Arial" w:hAnsi="Arial"/>
          <w:b w:val="0"/>
          <w:i w:val="0"/>
          <w:color w:val="000000"/>
          <w:sz w:val="21"/>
        </w:rPr>
        <w:t>P  —  Privilege  (Attorney-Client Privilege)</w:t>
      </w:r>
    </w:p>
    <w:p>
      <w:pPr>
        <w:spacing w:before="40" w:after="40"/>
        <w:ind w:left="288"/>
        <w:jc w:val="left"/>
      </w:pPr>
      <w:r>
        <w:rPr>
          <w:rFonts w:ascii="Arial" w:hAnsi="Arial"/>
          <w:b w:val="0"/>
          <w:i w:val="0"/>
          <w:color w:val="000000"/>
          <w:sz w:val="21"/>
        </w:rPr>
        <w:t>P  —  Pro Bono</w:t>
      </w:r>
    </w:p>
    <w:p>
      <w:pPr>
        <w:spacing w:before="40" w:after="40"/>
        <w:ind w:left="288"/>
        <w:jc w:val="left"/>
      </w:pPr>
      <w:r>
        <w:rPr>
          <w:rFonts w:ascii="Arial" w:hAnsi="Arial"/>
          <w:b w:val="0"/>
          <w:i w:val="0"/>
          <w:color w:val="000000"/>
          <w:sz w:val="21"/>
        </w:rPr>
        <w:t>P  —  Pro Se</w:t>
      </w:r>
    </w:p>
    <w:p>
      <w:pPr>
        <w:spacing w:before="40" w:after="40"/>
        <w:ind w:left="288"/>
        <w:jc w:val="left"/>
      </w:pPr>
      <w:r>
        <w:rPr>
          <w:rFonts w:ascii="Arial" w:hAnsi="Arial"/>
          <w:b w:val="0"/>
          <w:i w:val="0"/>
          <w:color w:val="000000"/>
          <w:sz w:val="21"/>
        </w:rPr>
        <w:t>S  —  Solicitor</w:t>
      </w:r>
    </w:p>
    <w:p>
      <w:pPr>
        <w:spacing w:before="40" w:after="40"/>
        <w:ind w:left="288"/>
        <w:jc w:val="left"/>
      </w:pPr>
      <w:r>
        <w:rPr>
          <w:rFonts w:ascii="Arial" w:hAnsi="Arial"/>
          <w:b w:val="0"/>
          <w:i w:val="0"/>
          <w:color w:val="000000"/>
          <w:sz w:val="21"/>
        </w:rPr>
        <w:t>Amendment Record</w:t>
      </w:r>
    </w:p>
    <w:p>
      <w:pPr>
        <w:spacing w:before="40" w:after="40"/>
        <w:ind w:left="288"/>
        <w:jc w:val="left"/>
      </w:pPr>
      <w:r>
        <w:rPr>
          <w:rFonts w:ascii="Arial" w:hAnsi="Arial"/>
          <w:b w:val="0"/>
          <w:i w:val="0"/>
          <w:color w:val="000000"/>
          <w:sz w:val="21"/>
        </w:rPr>
        <w:t>Table of Authorities</w:t>
      </w:r>
    </w:p>
    <w:p>
      <w:r>
        <w:br w:type="page"/>
      </w:r>
    </w:p>
    <w:p>
      <w:r>
        <w:br w:type="page"/>
      </w:r>
    </w:p>
    <w:p>
      <w:pPr>
        <w:spacing w:before="0" w:after="80"/>
        <w:jc w:val="center"/>
      </w:pPr>
      <w:r>
        <w:rPr>
          <w:rFonts w:ascii="Arial" w:hAnsi="Arial"/>
          <w:b/>
          <w:i w:val="0"/>
          <w:color w:val="1A1A2E"/>
          <w:sz w:val="72"/>
        </w:rPr>
        <w:t>A</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ATTORNEY</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Strictly, one who is designated to transact business for another; a legal agent. An attorney at law is a person admitted to practice law in a jurisdiction, authorized to appear in court, give legal advice, and represent clients in legal matters. The terms attorney and lawyer are commonly used interchangeably in American usage.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acknowledges — briefly, in its first sentence — what most people never learn: an attorney is fundamentally an agent. One designated to transact business for another. The word derives from the Old French atorné, meaning one appointed or constituted in the place of another. An attorney acts in your place. They are your legal substitute. This is the relationship the dominant definition buries under the more familiar usage as simply a licensed legal practitioner. The embedded assumption is that the attorney's role as your agent is the most important fact about them. The dominant treatment obscures this by emphasizing licensure and court access — the guild's credentials — rather than the fiduciary and agency dimensions of the relationship. It also conceals the structural conflict at the heart of the attorney's role: they are simultaneously your agent and an officer of the court. Two masters. One loyalty. The one that is never disclosed.</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An attorney is a licensed agent appointed by the living being to act in their legal name — a relationship that is simultaneously a principal-agent relationship governed by agency law, a fiduciary relationship governed by professional responsibility rules, and an officer-of-the-court relationship governed by the State Bar and the courts before which the attorney appears. The living being who hires an attorney must understand all three dimensions. As principal, the living being retains ultimate authority over the objectives of the representation — the attorney may not settle a case without the client's informed consent. Model Rules of Professional Conduct, Rule 1.2. As the beneficiary of a fiduciary duty, the living being is entitled to undivided loyalty, confidentiality, competent representation, and full disclosure of all information material to the representation. Model Rules 1.1, 1.4, 1.6, 1.7. As the person whose legal interests may conflict with the attorney's duty to the court, the living being must know that an attorney will not make a false statement to a tribunal even to protect the client. Model Rule 3.3. This last obligation is real, significant, and never explained to clients. The attorney you hired will not lie to the judge for you. Knowing this in advance shapes what you tell your attorney and what you ask them to do.</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 1.2 (scope of representation and client authority); Rule 1.1 (competence); Rule 1.4 (communication and disclosure); Rule 1.6 (confidentiality); Rule 1.7 (conflicts of interest); Rule 3.3 (candor toward the tribunal). Restatement (Third) of the Law Governing Lawyers sections 16-19 (attorney as agent and fiduciary). Faretta v. California, 422 U.S. 806 (1975): the living being has the constitutional right to act as their own attorney. Powell v. Alabama, 287 U.S. 45 (1932): right to counsel in capital cases. Gideon v. Wainwright, 372 U.S. 335 (1963): right to appointed counsel in felony cases.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hiring an attorney, assert your rights as principal from the outset: you retain authority over the objectives of the representation; no settlement without your informed consent; full and timely disclosure of all material information; written fee agreements before any work begins. Ask explicitly: What are your duties to the court that might conflict with your duties to me? An attorney who cannot answer this question clearly is an attorney who has not thought carefully about the structure of their own role. You are entitled to one who has.</w:t>
      </w:r>
    </w:p>
    <w:p>
      <w:pPr>
        <w:spacing w:before="120" w:after="120"/>
        <w:ind w:left="432" w:right="432"/>
        <w:jc w:val="center"/>
      </w:pPr>
      <w:r>
        <w:rPr>
          <w:rFonts w:ascii="Arial" w:hAnsi="Arial"/>
          <w:b w:val="0"/>
          <w:i/>
          <w:color w:val="7A5C00"/>
          <w:sz w:val="22"/>
        </w:rPr>
        <w:t>An attorney is your agent. You are their principal. The principal directs the agent — not the other way around. The living being who forgets this in the presence of credentials and professional authority has surrendered control of their own legal matter to someone whose interests do not perfectly align with theirs. Know who is working for whom.</w:t>
      </w:r>
    </w:p>
    <w:p>
      <w:pPr>
        <w:spacing w:before="240" w:after="40"/>
        <w:jc w:val="left"/>
        <w:pBdr>
          <w:bottom w:val="single" w:sz="3" w:space="1" w:color="444466"/>
        </w:pBdr>
      </w:pPr>
      <w:r>
        <w:rPr>
          <w:rFonts w:ascii="Arial" w:hAnsi="Arial"/>
          <w:b/>
          <w:i w:val="0"/>
          <w:color w:val="222244"/>
          <w:sz w:val="24"/>
        </w:rPr>
        <w:t>ATTORNEY AT LAW</w:t>
      </w:r>
      <w:r>
        <w:rPr>
          <w:rFonts w:ascii="Arial" w:hAnsi="Arial"/>
          <w:b w:val="0"/>
          <w:i/>
          <w:color w:val="555577"/>
          <w:sz w:val="19"/>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practitioner in a court of law who is legally qualified to prosecute and defend actions in such court on the retainer of clients. One admitted to practice law in a jurisdiction and authorized to perform both civil and criminal legal functions for clients. Distinguished historically from an attorney in fact, who acts under a power of attorney for non-court matters.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full title — attorney at law — reveals something the abbreviated usage conceals: the attorney's authority to act for you in legal proceedings is specifically an authority granted by the court system, not by you alone. The State Bar licenses them. The court admits them to practice. The rules of professional conduct — written by the bar and enforced by the courts — govern their conduct. The living being's role in this system is to select from among those the system has certified — but the certification itself, the standards it reflects, and the enforcement of those standards are entirely within the control of the profession itself. The attorney at law is the guild's authorized intermediary between the living being and the system the guild serves. The embedded assumption is that this intermediary relationship is necessary, neutral, and in the living being's interest. It is sometimes necessary. It is never fully neutral. And it is in the living being's interest only when the attorney's professional obligations are honored in full — which requires the living being to know what those obligations are.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An attorney at law is a licensed agent whose authority to act in legal proceedings derives from two sources that may conflict: the living being who retained them and the court system that licensed and admits them. Where these sources of authority conflict — where the client's interest and the court's expectations diverge — the attorney at law is governed by professional rules that prioritize the integrity of the legal system. This is not always wrong. A system in which attorneys could lie to courts for their clients would be a system in which no court finding could be trusted. But the living being must know that this structural reality exists — that the attorney they hired is not their unconditional advocate but their conditionally loyal representative, constrained by professional obligations that the living being did not set and cannot waive. Understanding this is not a reason to distrust attorneys. It is a reason to engage them as informed principals rather than passive clients.</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 3.3 (candor toward the tribunal); Rule 1.2 (client authority over objectives); Rule 1.3 (diligence). State Bar admission rules and professional conduct enforcement as the structural framework governing attorney behavior. Faretta v. California, 422 U.S. 806 (1975).</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The living being who understands the attorney's dual obligations — to client and to court — can structure their relationship with counsel more effectively. Be explicit about your objectives. Get everything in writing. Understand what your attorney will and will not do on your behalf before a proceeding begins, not after. And know that you always retain the right to discharge your attorney and proceed pro se.</w:t>
      </w:r>
    </w:p>
    <w:p>
      <w:pPr>
        <w:spacing w:before="120" w:after="120"/>
        <w:ind w:left="432" w:right="432"/>
        <w:jc w:val="center"/>
      </w:pPr>
      <w:r>
        <w:rPr>
          <w:rFonts w:ascii="Arial" w:hAnsi="Arial"/>
          <w:b w:val="0"/>
          <w:i/>
          <w:color w:val="7A5C00"/>
          <w:sz w:val="22"/>
        </w:rPr>
        <w:t>At law. Two words that tell you whose system it is. The attorney operates at law — within the legal system, subject to its rules, as its licensed officer. You operate as a living being whose rights the legal system was created to protect. The relationship between those two positions is the relationship you need to understand before you sign the retainer.</w:t>
      </w:r>
    </w:p>
    <w:p>
      <w:pPr>
        <w:spacing w:before="240" w:after="40"/>
        <w:jc w:val="left"/>
        <w:pBdr>
          <w:bottom w:val="single" w:sz="3" w:space="1" w:color="444466"/>
        </w:pBdr>
      </w:pPr>
      <w:r>
        <w:rPr>
          <w:rFonts w:ascii="Arial" w:hAnsi="Arial"/>
          <w:b/>
          <w:i w:val="0"/>
          <w:color w:val="222244"/>
          <w:sz w:val="24"/>
        </w:rPr>
        <w:t>ATTORNEY-CLIENT RELATIONSHIP</w:t>
      </w:r>
      <w:r>
        <w:rPr>
          <w:rFonts w:ascii="Arial" w:hAnsi="Arial"/>
          <w:b w:val="0"/>
          <w:i/>
          <w:color w:val="555577"/>
          <w:sz w:val="19"/>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professional relationship between an attorney and a client, characterized by the attorney's fiduciary duties of loyalty, confidentiality, competence, and communication. The relationship is formed when a person reasonably believes that an attorney has agreed to provide legal services. It may be terminated by either party, subject to court approval in pending matters. (Restatement (Third) of the Law Governing Lawyers)</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treatment of the attorney-client relationship emphasizes the attorney's duties to the client without adequately preparing the client for the power dynamics of the relationship. The attorney controls the legal strategy. The attorney controls the pace and method of work. The attorney controls what information is presented to the court. The client pays for this control without necessarily understanding that they are paying an expert agent whose professional judgment may override the client's preferences on tactical matters — while the client retains authority only over the ultimate objectives. The billing relationship reinforces this power imbalance: the attorney knows exactly how much everything costs and controls those costs through their own work decisions. The client is typically informed of costs after they are incurred.</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The attorney-client relationship is a fiduciary relationship in which the attorney owes duties of loyalty, competence, communication, and confidentiality to the client — and the client retains ultimate authority over the objectives of the representation. A well-functioning attorney-client relationship requires the living being to exercise that authority actively: to set clear objectives; to require regular communication about case status and costs; to demand written confirmation of all significant decisions; to understand what work is being done and why; and to discharge the attorney if the relationship does not serve the living being's interests. The living being is not a passive recipient of legal services. They are the principal in a fiduciary relationship who retains authority and must exercise it. An attorney who does not communicate regularly, who does not explain their strategy, who does not obtain informed consent for significant decisions, and who does not provide itemized billing is an attorney who is not fulfilling their professional obligations. These are grounds for a bar complaint — and the living being has the right to file one.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Rules 1.1-1.9 (the full scope of attorney duties to clients). Restatement (Third) of the Law Governing Lawyers sections 16-62. State bar disciplinary procedures as the enforcement mechanism. Strickland v. Washington, 466 U.S. 668 (1984): ineffective assistance of counsel standard — the constitutional floor of competent representation.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From the first meeting with an attorney, establish: written fee agreement with itemized billing; regular communication schedule; requirement of your informed consent before any settlement or significant strategic decision; explanation of the attorney's duties to the court and how they might affect the representation. These are not unusual demands. They are the living being's rights as a client. An attorney who resists them is an attorney whose interests and yours may already be diverging.</w:t>
      </w:r>
    </w:p>
    <w:p>
      <w:pPr>
        <w:spacing w:before="120" w:after="120"/>
        <w:ind w:left="432" w:right="432"/>
        <w:jc w:val="center"/>
      </w:pPr>
      <w:r>
        <w:rPr>
          <w:rFonts w:ascii="Arial" w:hAnsi="Arial"/>
          <w:b w:val="0"/>
          <w:i/>
          <w:color w:val="7A5C00"/>
          <w:sz w:val="22"/>
        </w:rPr>
        <w:t>A fiduciary relationship is the law's highest form of trust. It requires the trusted party to put your interests above their own. That is what you hired. Hold them to it. The bar complaint exists precisely because the law knows they do not always deliver it.</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B</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BILLING</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process of generating and sending invoices for professional services rendered. In legal practice, billing methods include hourly billing, flat fee arrangements, contingency fee agreements, and hybrid arrangements. Hourly billing is the predominant method in American legal practice, in which the attorney charges a set rate per hour or fraction of an hour for time spent on the matter. (General legal usage; Model Rules of Professional Conduct, Rule 1.5)</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treatment of legal billing presents it as a neutral mechanism for compensating attorneys for their time and expertise. This framing conceals the structural perversity at the heart of hourly billing: it rewards complexity and duration. An attorney who resolves a matter quickly and efficiently earns less than one who allows it to become complex and prolonged. An attorney who bills in six-minute increments and rounds up — as is standard practice — systematically overcharges. An attorney who bills for travel time, for thinking in the shower, for conversations at lunch, for time spent on matters that benefited multiple clients simultaneously — each of these is a billing practice that transfers wealth from the living being to the attorney without proportionate value delivered. The embedded assumption is that the billable hour is a fair and transparent measure of value. It is a measure of time. Time and value are not the same.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Billing in legal practice is the mechanism by which the attorney transfers the cost of legal complexity — including complexity the attorney's own profession created and maintains — to the living being who has no practical choice but to pay it. A fair billing arrangement is one in which: the fee is reasonable in relation to the result achieved; the method of billing is disclosed and agreed to in writing before work begins; itemized statements are provided that allow the client to evaluate what they received for what they paid; and the attorney's financial incentives do not distort their professional judgment about the most efficient path to the client's objectives. Model Rule 1.5 requires that fees be reasonable and that the basis for the fee be communicated to the client. A fee that is unreasonable — that is disproportionate to the result, the complexity, or the time actually required — is a violation of professional conduct rules and grounds for a fee dispute or bar complaint. The living being who receives a legal bill has the right to challenge it.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 1.5 (reasonable fees; fee agreements in writing; fee-splitting rules). State bar fee arbitration procedures: most state bars provide fee dispute resolution services. Restatement (Third) of the Law Governing Lawyers section 34-42 (attorney fees and billing). ABA Standing Committee on Ethics guidelines on billing practices.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Before retaining any attorney, demand a written fee agreement that specifies: the hourly rate or fee structure; what activities will be billed; the minimum billing increment; what costs will be passed through; billing frequency; and the process for disputing charges. Review every invoice. Question every charge you do not understand. If a bill is unreasonable, use the state bar's fee arbitration service. The living being who reviews their legal bills carefully pays less than the one who does not.</w:t>
      </w:r>
    </w:p>
    <w:p>
      <w:pPr>
        <w:spacing w:before="120" w:after="120"/>
        <w:ind w:left="432" w:right="432"/>
        <w:jc w:val="center"/>
      </w:pPr>
      <w:r>
        <w:rPr>
          <w:rFonts w:ascii="Arial" w:hAnsi="Arial"/>
          <w:b w:val="0"/>
          <w:i/>
          <w:color w:val="7A5C00"/>
          <w:sz w:val="22"/>
        </w:rPr>
        <w:t>The billable hour rewards time spent, not value delivered. A system designed this way will produce more time spent than value delivered. The living being who pays without questioning is paying for the system's incentives as much as for their own legal matter. Question the bill.</w:t>
      </w:r>
    </w:p>
    <w:p>
      <w:pPr>
        <w:spacing w:before="240" w:after="40"/>
        <w:jc w:val="left"/>
        <w:pBdr>
          <w:bottom w:val="single" w:sz="3" w:space="1" w:color="444466"/>
        </w:pBdr>
      </w:pPr>
      <w:r>
        <w:rPr>
          <w:rFonts w:ascii="Arial" w:hAnsi="Arial"/>
          <w:b/>
          <w:i w:val="0"/>
          <w:color w:val="222244"/>
          <w:sz w:val="24"/>
        </w:rPr>
        <w:t>CONTINGENCY FEE</w:t>
      </w:r>
      <w:r>
        <w:rPr>
          <w:rFonts w:ascii="Arial" w:hAnsi="Arial"/>
          <w:b w:val="0"/>
          <w:i/>
          <w:color w:val="555577"/>
          <w:sz w:val="19"/>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fee charged for a lawyer's services only if the lawsuit is successful or is favorably settled out of court. Contingency fees are typically a percentage of the recovery, commonly one-third. They are permitted in civil matters but generally prohibited in criminal cases and certain family law matters. (Black's Law Dictionary, 11th ed.; Model Rule 1.5(c))</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contingency fee is presented as the mechanism that makes justice accessible to those who cannot afford hourly fees — the democratization of legal representation. This framing ignores the ways the contingency fee structure can distort attorney judgment. A contingency fee attorney who settles a case quickly for less than its full value receives their percentage sooner and moves to the next case. A contingency fee attorney who takes the case to trial — potentially recovering more for the client — invests much more time for an uncertain result. The attorney's financial incentive may favor early settlement over maximum recovery. The client, who pays nothing until recovery and who may not understand the case's full value, has limited ability to evaluate whether the settlement offer their attorney recommends serves the client's interest or the attorney's.</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contingency fee arrangement is a risk-sharing agreement in which the attorney accepts the risk of non-recovery in exchange for a percentage of the recovery if successful. It is the most accessible form of legal representation for the living being of limited means and is appropriate in many civil rights, personal injury, and employment discrimination matters. To ensure it serves the living being's interest: the percentage must be specified in writing before work begins; the percentage should be negotiable and should reflect the likely complexity and risk of the case; the living being retains the right to reject any settlement offer regardless of the attorney's recommendation; and the attorney must provide a written statement of the recovery, the fee, and the expenses deducted when the matter concludes. Model Rule 1.5(c). In civil rights matters, attorney fee shifting provisions — 42 U.S.C. section 1988 — may allow the prevailing party to recover attorney fees from the defendant, reducing or eliminating the contingency percentage from the client's recovery.</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 1.5(c): contingency fee requirements. 42 U.S.C. section 1988: attorney fee shifting in civil rights cases. Blanchard v. Bergeron, 489 U.S. 87 (1989): fee shifting under section 1988. Hensley v. Eckerhart, 461 U.S. 424 (1983): reasonable attorney fees in civil rights cases.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civil rights, employment discrimination, and excessive force cases, assert attorney fee shifting under section 1988. This means that if you prevail, the defendant pays your attorney — not you. Attorneys who know fee shifting applies may take cases they would otherwise decline. And in any contingency arrangement, negotiate the percentage, get it in writing, and understand that you retain the right to reject any settlement.</w:t>
      </w:r>
    </w:p>
    <w:p>
      <w:pPr>
        <w:spacing w:before="120" w:after="120"/>
        <w:ind w:left="432" w:right="432"/>
        <w:jc w:val="center"/>
      </w:pPr>
      <w:r>
        <w:rPr>
          <w:rFonts w:ascii="Arial" w:hAnsi="Arial"/>
          <w:b w:val="0"/>
          <w:i/>
          <w:color w:val="7A5C00"/>
          <w:sz w:val="22"/>
        </w:rPr>
        <w:t>No recovery, no fee is a promise that aligns the attorney's interest with yours — up to a point. That point is the settlement offer. After that point, ask whose interest the recommendation serves. It may still be yours. But you should ask.</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C</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CLIENT</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person who employs or retains an attorney to represent or advise them in a legal matter. One for whom professional services are rendered. A client is owed fiduciary duties of loyalty, confidentiality, competence, and communication by the attorney who undertakes their representation.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client positions the living being as a passive recipient of professional services — someone who employs the expert and then steps back while the expert works. This positioning disempowers the living being at the moment they most need to be empowered. The client who does not understand the legal process, who cannot evaluate the quality of the work being done on their behalf, and who defers entirely to their attorney's judgment is a client whose interests are entirely dependent on the attorney's competence, diligence, and good faith — without any ability to verify that those qualities are present. The legal profession's culture of deference — of the expert knowing best — reinforces this passivity. The living being who is encouraged to simply trust their attorney is a living being who has been prepared to be exploited.</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client is the principal in a fiduciary relationship — the person whose interests are supreme, whose authority over the objectives of the representation is absolute, and who retains the right to full information about their matter at every stage. A client is not a passive recipient. They are the employer of a licensed agent who serves at the client's direction on matters of objective, constrained by professional rules on matters of method. The Model Rules establish the attorney's duties to the client precisely because without those duties the relationship would consistently favor the attorney's interests over the client's. An informed client — one who understands the duties owed to them, who monitors the quality of representation, who asks questions, who reviews bills, and who knows when and how to discharge their attorney — is a client who receives the representation the law requires. The living being who understands they are a principal, not a supplicant, receives better legal services than the one who does not.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Rules 1.1-1.9 (attorney duties to client). Restatement (Third) of the Law Governing Lawyers sections 16-19. Strickland v. Washington, 466 U.S. 668 (1984): the constitutional floor of competent representation. State bar grievance procedures: the client's enforcement mechanism when duties are breached.</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You are the client. That means you are the principal. Assert it from the beginning: What will you do? When will you do it? How will you communicate with me? What will it cost? What decisions require my approval? How will I know what is happening in my case? An attorney who cannot answer these questions clearly has not thought carefully enough about your representation. Find one who has.</w:t>
      </w:r>
    </w:p>
    <w:p>
      <w:pPr>
        <w:spacing w:before="120" w:after="120"/>
        <w:ind w:left="432" w:right="432"/>
        <w:jc w:val="center"/>
      </w:pPr>
      <w:r>
        <w:rPr>
          <w:rFonts w:ascii="Arial" w:hAnsi="Arial"/>
          <w:b w:val="0"/>
          <w:i/>
          <w:color w:val="7A5C00"/>
          <w:sz w:val="22"/>
        </w:rPr>
        <w:t>You hired them. They work for you. The moment you forget this and begin deferring to the credential rather than directing the agent, you have given away the most important thing you retained when you retained them: your authority over your own legal matter.</w:t>
      </w:r>
    </w:p>
    <w:p>
      <w:pPr>
        <w:spacing w:before="240" w:after="40"/>
        <w:jc w:val="left"/>
        <w:pBdr>
          <w:bottom w:val="single" w:sz="3" w:space="1" w:color="444466"/>
        </w:pBdr>
      </w:pPr>
      <w:r>
        <w:rPr>
          <w:rFonts w:ascii="Arial" w:hAnsi="Arial"/>
          <w:b/>
          <w:i w:val="0"/>
          <w:color w:val="222244"/>
          <w:sz w:val="24"/>
        </w:rPr>
        <w:t>COUNSEL</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Legal advice; a term also used to refer to the lawyer giving the advice. Legal counsel means the attorney or attorneys retained to advise or represent a party. In-house counsel refers to attorneys employed by an organization. The Sixth Amendment guarantees the right to counsel in criminal proceedings. Counsel of record is the attorney formally appearing in a matter.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word counsel carries a different weight than attorney. It implies wisdom, advice, guidance — the counsel of an elder or advisor rather than merely the services of a licensed agent. This connotation elevates the attorney's role from service provider to trusted advisor and tends to increase the deference the living being extends to their attorney's judgment. This is not always inappropriate — experienced legal counsel does provide genuine wisdom and the living being benefits from it. But the word's connotation of wisdom can obscure the accountability relationship: counsel who gives bad advice, who fails to act, who misses deadlines, or who prioritizes their own interests over the client's is still accountable — regardless of how much wisdom the title implies.</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Counsel is both the legal advice given and the person giving it — and the quality of the counsel is measured by its accuracy, completeness, timeliness, and service to the living being's interests. The constitutional right to counsel — Gideon v. Wainwright, 372 U.S. 335 (1963) — reflects the legal system's acknowledgment that the living being cannot effectively navigate a criminal proceeding without expert assistance. But the right to counsel is the right to effective counsel — counsel whose performance meets an objective standard of reasonableness. Strickland v. Washington, 466 U.S. 668 (1984). Ineffective assistance of counsel — where the attorney's deficient performance prejudiced the outcome — is a constitutional violation that entitles the living being to a new proceeding. The right to counsel is not the right to any warm body with a bar card. It is the right to someone whose counsel is actually useful.</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Gideon v. Wainwright, 372 U.S. 335 (1963): right to appointed counsel in felony cases. Strickland v. Washington, 466 U.S. 668 (1984): ineffective assistance standard. Padilla v. Kentucky, 559 U.S. 356 (2010): counsel must advise on immigration consequences. U.S. Const. amend. VI.</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your counsel fails to perform effectively — misses deadlines, fails to investigate, fails to advise of material consequences, or is simply absent when needed — document the failures and preserve the record for an ineffective assistance claim on appeal. Strickland requires both deficient performance and prejudice to the outcome. Document both.</w:t>
      </w:r>
    </w:p>
    <w:p>
      <w:pPr>
        <w:spacing w:before="120" w:after="120"/>
        <w:ind w:left="432" w:right="432"/>
        <w:jc w:val="center"/>
      </w:pPr>
      <w:r>
        <w:rPr>
          <w:rFonts w:ascii="Arial" w:hAnsi="Arial"/>
          <w:b w:val="0"/>
          <w:i/>
          <w:color w:val="7A5C00"/>
          <w:sz w:val="22"/>
        </w:rPr>
        <w:t>Counsel means wisdom given in service of another. The title does not guarantee the substance. The living being who evaluates what they receive rather than what they were promised receives better counsel than the one who confuses the credential with the quality.</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F</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FEE</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charge for professional services. In law, attorney fees are compensation paid to an attorney for legal services rendered. Fees may be hourly, flat, contingent, or statutory. Under the American Rule, each party generally bears their own attorney fees absent a fee-shifting statute or contractual provision.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American Rule — that each party bears their own attorney fees — is the dominant rule in American litigation. This rule has a profoundly unequal impact. The party with resources can sustain extended litigation. The living being without resources cannot — regardless of the merit of their claim. The American Rule therefore systematically advantages the wealthy and institutional parties who can outspend individual litigants. The embedded assumption is that the American Rule is neutral — that both parties bear equal burden under it. They do not. The corporation defending a civil rights claim bears its legal fees as a cost of doing business. The individual asserting the claim may lose their home paying for theirs. The fee structure of American litigation is one of the primary mechanisms through which the legal system denies effective access to justice for living beings without institutional resources.</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Attorney fees are a component of the cost of justice — and in cases where the law has determined that access to justice requires fee-shifting, the fee is a constitutional and statutory entitlement, not a burden on the prevailing party. 42 U.S.C. section 1988 provides that in civil rights cases, the prevailing party may recover reasonable attorney fees from the opposing party. This fee-shifting provision reflects Congress's recognition that civil rights litigation serves a public purpose — enforcing constitutional rights — that justifies requiring the rights violator to bear the cost of their victim's enforcement. The living being pursuing civil rights claims should always assess whether fee-shifting applies and should factor this into their choice of representation. Additionally, many states have fee-shifting provisions in consumer protection, employment, and housing discrimination statutes. The fee structure can be shifted. Know when.</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42 U.S.C. section 1988: fee shifting in civil rights cases. Hensley v. Eckerhart, 461 U.S. 424 (1983): reasonable fee calculation. Blum v. Stenson, 465 U.S. 886 (1984): market rate standard for fee awards. Model Rule 1.5: reasonableness standard for fees. Fair Debt Collection Practices Act, 15 U.S.C. section 1692k: fee shifting in consumer protection. Title VII, 42 U.S.C. section 2000e-5(k): fee shifting in employment discrimination.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Before pursuing any civil rights, employment, housing, or consumer protection claim, determine whether attorney fee-shifting applies. Where it does, attorneys may take the case on contingency with the expectation of a fee award from the defendant if you prevail — meaning your recovery is not reduced by the attorney's fee. This changes the economics of the case entirely. Know which statutes in your matter carry fee-shifting provisions.</w:t>
      </w:r>
    </w:p>
    <w:p>
      <w:pPr>
        <w:spacing w:before="120" w:after="120"/>
        <w:ind w:left="432" w:right="432"/>
        <w:jc w:val="center"/>
      </w:pPr>
      <w:r>
        <w:rPr>
          <w:rFonts w:ascii="Arial" w:hAnsi="Arial"/>
          <w:b w:val="0"/>
          <w:i/>
          <w:color w:val="7A5C00"/>
          <w:sz w:val="22"/>
        </w:rPr>
        <w:t>Justice costs money in a system where money determines access. Fee shifting is the law's partial acknowledgment of this problem and partial attempt to correct it. The living being who knows when the correction applies uses the system's own tool against the barrier the system created.</w:t>
      </w:r>
    </w:p>
    <w:p>
      <w:pPr>
        <w:spacing w:before="240" w:after="40"/>
        <w:jc w:val="left"/>
        <w:pBdr>
          <w:bottom w:val="single" w:sz="3" w:space="1" w:color="444466"/>
        </w:pBdr>
      </w:pPr>
      <w:r>
        <w:rPr>
          <w:rFonts w:ascii="Arial" w:hAnsi="Arial"/>
          <w:b/>
          <w:i w:val="0"/>
          <w:color w:val="222244"/>
          <w:sz w:val="24"/>
        </w:rPr>
        <w:t>RETAINER</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fee paid to an attorney to secure their availability and to compensate for initial work on a matter. A general retainer secures the attorney's availability over a period of time. A special retainer is paid for a specific matter. A retainer may be a fixed amount that is earned upon receipt or a deposit against which future fees are billed.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retainer as practiced in American legal billing is frequently a deposit — money paid upfront against which hourly fees are subsequently billed, with the attorney drawing from the retainer as work is performed and requesting replenishment when it runs low. This arrangement creates an immediate power imbalance: the attorney holds your money and controls when it is depleted. The living being who pays a retainer and then receives a bill saying the retainer has been exhausted — often faster than expected, for work whose value and necessity is difficult to evaluate — is in a position of structural vulnerability. The embedded assumption is that the retainer represents a fair and transparent exchange. It is only as fair as the billing practices that determine how quickly it is consumed.</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retainer is a financial commitment that creates professional obligations on both sides: the living being commits to pay, and the attorney commits to provide competent, diligent, and loyally motivated representation. The retainer agreement is a contract that must clearly specify: what work is covered; what the hourly rate or flat fee is; how the retainer will be held (in a client trust account, not commingled with the attorney's funds); how and when the retainer will be drawn; what happens when it is exhausted; and how the living being can terminate the relationship and receive a refund of any unused portion. Model Rule 1.15 requires attorneys to hold client funds in trust, not commingled with their own. Commingling of client funds is one of the most serious professional conduct violations and grounds for disbarment. The living being who understands retainer mechanics can protect themselves from the most common forms of billing abuse.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 1.15 (safekeeping of client funds; trust account requirements). Rule 1.5 (fee agreements in writing). State bar rules on client trust accounts and commingling prohibition. Restatement (Third) of the Law Governing Lawyers sections 38-44.</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Never pay a retainer without a written retainer agreement specifying all terms. Confirm that your retainer will be held in a client trust account separate from the attorney's operating funds. Request a statement showing the trust account balance at regular intervals. If the attorney cannot or will not provide this, the funds may not be protected as required by professional conduct rules. This is grounds for a bar complaint.</w:t>
      </w:r>
    </w:p>
    <w:p>
      <w:pPr>
        <w:spacing w:before="120" w:after="120"/>
        <w:ind w:left="432" w:right="432"/>
        <w:jc w:val="center"/>
      </w:pPr>
      <w:r>
        <w:rPr>
          <w:rFonts w:ascii="Arial" w:hAnsi="Arial"/>
          <w:b w:val="0"/>
          <w:i/>
          <w:color w:val="7A5C00"/>
          <w:sz w:val="22"/>
        </w:rPr>
        <w:t>Money paid in advance is money that gives the other party leverage. The retainer should not be an act of trust but an act of contract — specific, written, and enforceable. Trust the agreement. Not the handshake.</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J</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JARGON  (Legal Jargon)</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Special words or expressions used by a particular profession or group that are difficult for others to understand. Legal jargon encompasses Latin phrases, archaic English terms, technical procedural vocabulary, and specialized usage of common words that carries specific legal meaning distinct from everyday usage. (General usage)</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treatment of legal jargon presents it as a necessary feature of legal precision — the argument that specialized vocabulary enables exact communication among legal professionals. This argument has merit: terms of art do convey precise meaning efficiently among those who know them. But the argument is also self-serving. The same legal concepts that require Latin phrases and archaic English between attorneys could be communicated in plain language to the living being who must live under their application. The Plain Writing Act of 2010, 5 U.S.C. section 301, requires federal agencies to use plain language in public communications — an acknowledgment that the government agreed jargon had become a barrier. The embedded assumption is that legal jargon serves precision. It serves precision among those who know it. For those who do not, it serves exclusion. The legal profession has consistently chosen the vocabulary that serves the profession rather than the vocabulary that serves the public.</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Legal jargon is a guild vocabulary whose primary social function — whatever its stated purpose of precision — is to maintain the legal profession's monopoly on understanding the system that governs the living being. A system whose rules cannot be understood without a licensed translator is a system that has captured its own subjects. The Counter-Canon is the direct counter to this capture: it translates the guild's vocabulary into the living being's own language, grounded in the law's own authorities, so that the living being can navigate the system that governs them without depending entirely on the guild that benefits from their dependence. The right of the living being to represent themselves — pro se — exists precisely because the Constitution does not require a guild intermediary between the living being and the court. Faretta v. California, 422 U.S. 806 (1975). The plain language movement in law — reflected in the Plain Writing Act, in plain-language legal drafting standards, and in the growing plain-language court forms movement — is the legal system's partial acknowledgment that jargon has been a barrier to justice. It should be a full acknowledgment.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Plain Writing Act of 2010, 5 U.S.C. section 301: federal agencies must use plain language. Faretta v. California, 422 U.S. 806 (1975): right to self-representation without a licensed translator. Tennessee v. Lane, 541 U.S. 509 (2004): access to courts as a fundamental right. ABA Plain Language Drafting Guidelines. The Counter-Canon: A Dictionary of Living Law (2026) as the direct counter-instrument.</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 legal document, notice, or proceeding uses language you do not understand, you have the right to ask for a plain-language explanation. In court, you have the right to ask the judge to explain any ruling you do not understand. Pro se litigants are entitled to a degree of latitude in interpreting their own filings. And the Counter-Canon exists precisely to give you the vocabulary to navigate the system in your own language.</w:t>
      </w:r>
    </w:p>
    <w:p>
      <w:pPr>
        <w:spacing w:before="120" w:after="120"/>
        <w:ind w:left="432" w:right="432"/>
        <w:jc w:val="center"/>
      </w:pPr>
      <w:r>
        <w:rPr>
          <w:rFonts w:ascii="Arial" w:hAnsi="Arial"/>
          <w:b w:val="0"/>
          <w:i/>
          <w:color w:val="7A5C00"/>
          <w:sz w:val="22"/>
        </w:rPr>
        <w:t>A language designed to exclude is not a language of justice. It is a language of gatekeeping. The living being who learns the language does not owe the guild a debt of gratitude. They have done what should never have been necessary: learned a second language to access rights they were born with.</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L</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LAWYER</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person learned in the law; as an attorney, counsel, or solicitor; a person licensed to practice law. In common American usage, lawyer and attorney are used interchangeably to refer to a licensed legal practitioner.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definition's casual equation of lawyer with attorney — persons licensed to practice law — obscures the original and still legally significant distinction. A lawyer, etymologically and historically, is a person learned in the law. Learning in the law does not require a license. It requires knowledge. The equation of lawyer with licensed practitioner serves the guild's interest in maintaining a monopoly on legal knowledge as a prerequisite for legal action. But the First Amendment protects the right to speak about the law. The right to self-representation protects the living being's ability to act on their own legal knowledge without a license. And the Counter-Canon exists precisely to give every living being access to the legal knowledge the guild treats as its exclusive property. A living being who understands the law is, in the original sense, a lawyer — whether or not the guild has issued them a credential.</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lawyer is a person learned in the law — one who understands legal principles, legal procedure, and the legal system's vocabulary well enough to navigate it and to assert the living being's rights within it. This knowledge is not the exclusive property of licensed practitioners. It is available to every living being who seeks it. The Counter-Canon is the instrument of that availability: it gives every living being who reads it the vocabulary, the framework, and the specific legal authorities they need to understand the law that governs them. The living being who knows this material is not an attorney — they are not licensed to appear in court on another's behalf or to give legal advice for compensation. But they are a lawyer in the original sense: a person learned in the law. And a person learned in the law who represents themselves is exercising a constitutional right that the guild cannot extinguish. Faretta v. California, 422 U.S. 806 (1975).</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Faretta v. California, 422 U.S. 806 (1975): constitutional right to self-representation. U.S. Const. amend. I: freedom to speak about and write about law. Unauthorized practice of law statutes: the guild's enforcement mechanism — which the Counter-Canon operates carefully within by providing legal education, not legal advice for compensation. The Counter-Canon: A Dictionary of Living Law (2026).</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Know the law that governs you. Read the Counter-Canon. Read the cases cited in it. Read the statutes. You are entitled to understand the rules of the system you live under. You are entitled to apply that understanding in your own legal matters. You are not entitled to charge others for legal advice without a license — but you are entitled to be learned in the law that affects your life. No guild can take that from you.</w:t>
      </w:r>
    </w:p>
    <w:p>
      <w:pPr>
        <w:spacing w:before="120" w:after="120"/>
        <w:ind w:left="432" w:right="432"/>
        <w:jc w:val="center"/>
      </w:pPr>
      <w:r>
        <w:rPr>
          <w:rFonts w:ascii="Arial" w:hAnsi="Arial"/>
          <w:b w:val="0"/>
          <w:i/>
          <w:color w:val="7A5C00"/>
          <w:sz w:val="22"/>
        </w:rPr>
        <w:t>The law belongs to the people. The credential belongs to the guild. These are not the same thing. The living being who learns the law has claimed what was always theirs. The guild that charges for access to what belongs to all is the one who needs to justify their position — not the living being who reads.</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O</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OFFICER OF THE COURT</w:t>
      </w:r>
      <w:r>
        <w:rPr>
          <w:rFonts w:ascii="Arial" w:hAnsi="Arial"/>
          <w:b w:val="0"/>
          <w:i/>
          <w:color w:val="555577"/>
          <w:sz w:val="20"/>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An attorney or other person who is part of the judicial machinery and who acts in an official capacity to help administer justice. Attorneys are officers of the court in that they have sworn an oath to uphold the law and the court's processes, and they owe duties to the court as well as to their clients. This status carries obligations of candor, fairness, and the duty not to mislead the court.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status of officer of the court is presented as an elevation — a title that places the attorney in a position of dignity and responsibility within the judicial system. What it is, structurally, is a dual obligation — to client and to court — that is never fully disclosed to the client. The attorney who is an officer of the court will not make a false statement to a tribunal on the client's behalf, will not present evidence they know to be false, and will not obstruct the administration of justice — even if doing so would benefit the client. The client who believes their attorney is their unconditional advocate does not know this. The embedded assumption is that being an officer of the court is compatible with being the client's loyal advocate. It is — until it isn't. And the living being who does not know where that line falls cannot plan accordingly.</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An officer of the court is an attorney who has sworn a dual obligation: to serve the client's lawful interests zealously and to maintain the integrity of the judicial system. These obligations are compatible in the vast majority of legal matters. They conflict when the client's preferred strategy would require the attorney to mislead the court, present false evidence, or obstruct justice. In those cases, the attorney's duty to the court prevails — and the client's strategy must change or the attorney must withdraw. Model Rule 3.3 (candor toward the tribunal). The living being who understands this can structure their legal strategy within it: tell your attorney everything true and relevant; do not ask your attorney to do anything that requires deceiving the court; and understand that your attorney's integrity as an officer of the court is actually in your long-term interest — a system where officers of the court can lie to judges would be a system where the truth of your own legitimate claims would be indistinguishable from the lies.</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 3.3 (candor toward the tribunal); Rule 3.4 (fairness to opposing party); Rule 3.5 (conduct before tribunals). In re Snyder, 472 U.S. 634 (1985): attorney's duties as officer of the court. Nix v. Whiteside, 475 U.S. 157 (1986): attorney must refuse to present perjured testimony.</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Do not ask your attorney to lie to the court. Not because lying might not help in the moment but because an attorney who will lie for you to the court will also lie to you. And because the officer of the court who deceives a tribunal risks disbarment, criminal prosecution, and sanctions that will harm your case. Honest advocacy within the law's limits is both the ethical and the practical choice.</w:t>
      </w:r>
    </w:p>
    <w:p>
      <w:pPr>
        <w:spacing w:before="120" w:after="120"/>
        <w:ind w:left="432" w:right="432"/>
        <w:jc w:val="center"/>
      </w:pPr>
      <w:r>
        <w:rPr>
          <w:rFonts w:ascii="Arial" w:hAnsi="Arial"/>
          <w:b w:val="0"/>
          <w:i/>
          <w:color w:val="7A5C00"/>
          <w:sz w:val="22"/>
        </w:rPr>
        <w:t>An officer of the court serves two principals: you and the system. When they conflict, the system wins. This is not a betrayal. It is the structure. Know the structure and work within it rather than discovering it at the moment it matters most.</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P</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PRIVILEGE  (Attorney-Client Privilege)</w:t>
      </w:r>
      <w:r>
        <w:rPr>
          <w:rFonts w:ascii="Arial" w:hAnsi="Arial"/>
          <w:b w:val="0"/>
          <w:i/>
          <w:color w:val="555577"/>
          <w:sz w:val="20"/>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client's right to refuse to disclose and to prevent any other person from disclosing confidential communications between the client and their attorney made for the purpose of obtaining or providing legal advice. The privilege belongs to the client, not the attorney, and may be waived only by the client. It is one of the oldest and most sacred principles of English and American law.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attorney-client privilege presents it primarily as a protection for the client — the shield that allows the living being to speak freely to their attorney without fear that those communications will be used against them. This characterization is accurate as far as it goes. But privilege also serves the attorney's and the profession's interests: it prevents the attorney from being compelled to testify against their client, it protects the confidentiality of legal strategy, and it maintains the attorney's central role as the only safe conduit for legally sensitive communications. The embedded assumption is that privilege is primarily about the client's protection. It is also about the guild's position as the necessary intermediary.</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Attorney-client privilege is a genuine and important protection for the living being — one that enables the frank communication necessary for effective legal representation. It belongs to the client, not the attorney, and the client controls it. Upjohn Co. v. United States, 449 U.S. 383 (1981). The living being must know: what is protected (confidential communications between attorney and client made for the purpose of legal advice); what is not protected (communications made in the presence of third parties who are not necessary to the legal representation; communications made for the purpose of committing a crime or fraud — the crime-fraud exception; and the underlying facts, as opposed to the communications about them); how it can be waived (by the client, intentionally or inadvertently, by disclosing the communication to others); and how it differs from the attorney's duty of confidentiality, which is broader and governs all information relating to the representation. Privilege is a sword as well as a shield: invoke it proactively when government or opposing parties seek your legal communications.</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Upjohn Co. v. United States, 449 U.S. 383 (1981): scope of attorney-client privilege. In re Grand Jury Subpoena, 745 F.3d 681 (3d Cir. 2014): crime-fraud exception. Model Rules of Professional Conduct, Rule 1.6 (confidentiality of information). Federal Rule of Evidence 501: privilege in federal courts.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Mark all communications with your attorney as Attorney-Client Privileged. Do not forward attorney communications to third parties without consulting your attorney — inadvertent disclosure can waive the privilege. When government or opposing parties seek your legal communications, assert the privilege immediately and in writing. The privilege is yours. Protect it.</w:t>
      </w:r>
    </w:p>
    <w:p>
      <w:pPr>
        <w:spacing w:before="120" w:after="120"/>
        <w:ind w:left="432" w:right="432"/>
        <w:jc w:val="center"/>
      </w:pPr>
      <w:r>
        <w:rPr>
          <w:rFonts w:ascii="Arial" w:hAnsi="Arial"/>
          <w:b w:val="0"/>
          <w:i/>
          <w:color w:val="7A5C00"/>
          <w:sz w:val="22"/>
        </w:rPr>
        <w:t>Privilege is a room where you can tell the truth without it being used against you. It is one of the few places in the legal system where honesty is completely safe. Use it fully. Protect it carefully. And know that it has limits the system built in precisely because the room of privilege was never meant to be a room for planning crimes.</w:t>
      </w:r>
    </w:p>
    <w:p>
      <w:pPr>
        <w:spacing w:before="240" w:after="40"/>
        <w:jc w:val="left"/>
        <w:pBdr>
          <w:bottom w:val="single" w:sz="3" w:space="1" w:color="444466"/>
        </w:pBdr>
      </w:pPr>
      <w:r>
        <w:rPr>
          <w:rFonts w:ascii="Arial" w:hAnsi="Arial"/>
          <w:b/>
          <w:i w:val="0"/>
          <w:color w:val="222244"/>
          <w:sz w:val="24"/>
        </w:rPr>
        <w:t>PRO BONO</w:t>
      </w:r>
      <w:r>
        <w:rPr>
          <w:rFonts w:ascii="Arial" w:hAnsi="Arial"/>
          <w:b w:val="0"/>
          <w:i/>
          <w:color w:val="555577"/>
          <w:sz w:val="19"/>
        </w:rPr>
        <w:t xml:space="preserve">  (Latin phrase / adjective)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Short for pro bono publico, meaning for the public good. Legal work undertaken voluntarily and without payment as a public service. The ABA Model Rules recommend that attorneys aspire to render at least 50 hours of pro bono legal services per year to persons of limited means or to organizations serving those persons. (Black's Law Dictionary, 11th ed.; Model Rule 6.1)</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treatment of pro bono work presents it as the legal profession's voluntary contribution to justice — the guild's charitable response to the access gap its own billing structure created. This framing obscures the structural relationship: the legal profession's hourly billing monopoly on court access created the access gap; pro bono is the profession's self-administered, voluntary, and insufficient response to a gap it created. The 50-hour aspirational standard of Model Rule 6.1 is not mandatory. Most attorneys do not meet it. And pro bono work is allocated by the profession's own priorities — organizations and causes that align with the profession's preferences receive more pro bono attention than those that do not. The living being who needs legal help cannot reliably count on pro bono availability.</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Pro bono legal services are a partial and voluntary response to the legal system's failure to provide genuine access to justice for all living beings. They are valuable and should be sought — but the living being should understand that pro bono availability is not guaranteed, that pro bono attorneys may have less time for individual matters than paying clients receive, and that pro bono representation may be provided by less experienced attorneys or law students under supervision. Resources for pro bono assistance include: local legal aid organizations; state bar lawyer referral services; law school clinics; nonprofit legal organizations serving specific communities; and the federal Legal Services Corporation, which funds civil legal aid for low-income persons. The living being who cannot obtain pro bono assistance retains the constitutional right to represent themselves pro se — which is not a lesser option but a direct assertion of the living being's own legal standing.</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Model Rules of Professional Conduct, Rule 6.1 (voluntary pro bono). Legal Services Corporation Act, 42 U.S.C. sections 2996 et seq. Tennessee v. Lane, 541 U.S. 509 (2004): access to courts as a fundamental right. Georgia Legal Aid: 1-844-LEGALAID. Law school clinical programs as a pro bono resource.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Seek pro bono assistance through: Georgia Legal Aid (1-844-LEGALAID); the State Bar of Georgia's Lawyer Referral Service; Atlanta Legal Aid Society; law school clinics at University of Georgia, Emory, Georgia State, and Mercer law schools; and issue-specific nonprofits including the ACLU of Georgia, NAACP Legal Defense Fund, and Southern Poverty Law Center. If pro bono assistance is unavailable, proceed pro se with the Counter-Canon as your foundation.</w:t>
      </w:r>
    </w:p>
    <w:p>
      <w:pPr>
        <w:spacing w:before="120" w:after="120"/>
        <w:ind w:left="432" w:right="432"/>
        <w:jc w:val="center"/>
      </w:pPr>
      <w:r>
        <w:rPr>
          <w:rFonts w:ascii="Arial" w:hAnsi="Arial"/>
          <w:b w:val="0"/>
          <w:i/>
          <w:color w:val="7A5C00"/>
          <w:sz w:val="22"/>
        </w:rPr>
        <w:t>Pro bono means for the public good. The public good requires that the legal system be accessible to everyone, not just those who can pay. Pro bono is the profession acknowledging this requirement while declining to make it structural. The living being deserves structural access, not charitable access. Until the structure changes, use what is available.</w:t>
      </w:r>
    </w:p>
    <w:p>
      <w:pPr>
        <w:spacing w:before="240" w:after="40"/>
        <w:jc w:val="left"/>
        <w:pBdr>
          <w:bottom w:val="single" w:sz="3" w:space="1" w:color="444466"/>
        </w:pBdr>
      </w:pPr>
      <w:r>
        <w:rPr>
          <w:rFonts w:ascii="Arial" w:hAnsi="Arial"/>
          <w:b/>
          <w:i w:val="0"/>
          <w:color w:val="222244"/>
          <w:sz w:val="24"/>
        </w:rPr>
        <w:t>PRO SE</w:t>
      </w:r>
      <w:r>
        <w:rPr>
          <w:rFonts w:ascii="Arial" w:hAnsi="Arial"/>
          <w:b w:val="0"/>
          <w:i/>
          <w:color w:val="555577"/>
          <w:sz w:val="19"/>
        </w:rPr>
        <w:t xml:space="preserve">  (Latin phrase / adjective)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For oneself; on one's own behalf. A party who represents themselves in a legal proceeding without an attorney is said to be appearing pro se. Also termed in propria persona or self-represented litigant. Courts generally hold pro se litigants to less stringent standards than licensed attorneys but require them to follow the same substantive rules and deadlines.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treatment of pro se representation presents it as a lesser alternative — something the living being does when they cannot afford an attorney, to be accommodated with some patience by courts but not seriously expected to succeed. Pro se litigants are described as less able to navigate complex legal procedure, more likely to make procedural errors, and less likely to prevail than represented parties. These observations are empirically accurate as averages — but they reflect the information gap, not an inherent incapacity of the living being to understand or navigate the law that governs them. The embedded assumption is that professional representation is necessary for effective legal participation. The Constitution says otherwise.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Pro se representation is the living being's direct, constitutional assertion of their own legal standing — their refusal to surrender control of their own legal matter to a guild intermediary. Faretta v. California, 422 U.S. 806 (1975), established that the Sixth Amendment guarantees the right of self-representation in criminal proceedings as a matter of constitutional dignity — recognizing that the living being's autonomy over their own legal defense is a fundamental right. In civil matters, the right of pro se appearance is equally established. Haines v. Kerner, 404 U.S. 519 (1972), held that pro se complaints must be held to less stringent standards than formal pleadings drafted by lawyers — recognizing that form cannot trump substance when the living being is asserting legitimate legal rights. The Counter-Canon is the instrument that makes pro se representation genuinely viable: it gives the living being the vocabulary, the legal framework, and the specific authorities they need to appear before any court or agency as a fully informed, legally grounded, constitutionally protected self-representative. Pro se is not a lesser option. It is sovereignty.</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Faretta v. California, 422 U.S. 806 (1975): constitutional right to self-representation. Haines v. Kerner, 404 U.S. 519 (1972): liberal construction of pro se filings. McKaskle v. Wiggins, 465 U.S. 168 (1984): pro se defendant's right to control their own defense. U.S. Const. amend. VI. Local court rules on pro se litigants: most courts have pro se assistance programs.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The pro se litigant who is prepared is not the pro se litigant the system expects. Learn the local rules of the court before your first filing. Use the Counter-Canon to ground your arguments in specific legal authorities. File clearly, cite specifically, and meet every deadline. The courts' liberal construction of pro se filings gives you latitude on form. Use it to perfect your substance. The Declaration of Standing, the Formal Legal Doctrine, and the relevant Toolkit from the Sovereign Self Legal Defense Series are your foundational documents. Carry them. Know them. Use them.</w:t>
      </w:r>
    </w:p>
    <w:p>
      <w:pPr>
        <w:spacing w:before="120" w:after="120"/>
        <w:ind w:left="432" w:right="432"/>
        <w:jc w:val="center"/>
      </w:pPr>
      <w:r>
        <w:rPr>
          <w:rFonts w:ascii="Arial" w:hAnsi="Arial"/>
          <w:b w:val="0"/>
          <w:i/>
          <w:color w:val="7A5C00"/>
          <w:sz w:val="22"/>
        </w:rPr>
        <w:t>Pro se is two Latin words meaning for yourself. There is no more powerful statement a living being can make to a court than to appear for themselves — to stand in their own name, assert their own rights, and demand justice in their own voice. The guild built a system that makes this hard. The Counter-Canon is the tool that makes it possible.</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S</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SOLICITOR</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In England and Wales, a lawyer who deals with conveyancing, drawing up wills, advising clients, and representing clients in lower courts, as distinguished from a barrister who has the right of audience in higher courts. In the United States, the Solicitor General represents the federal government before the Supreme Court. In some American jurisdictions, solicitor refers to the chief legal officer of a municipal government.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English distinction between solicitor and barrister reveals something the American fusion of these roles conceals: the separation of the advisory function (solicitor) from the advocacy function (barrister) reflects a recognition that these are distinct skills serving distinct purposes. The solicitor works directly with the client; the barrister argues in court. In American legal practice, the attorney does both — which creates the billing reality that the same person who advises also charges for court appearances, for procedural preparation, for research, and for everything in between. The fusion also means there is no specialist court advocate whose entire skill set is oriented toward effective court presentation — every attorney does everything, with varying degrees of competence at each task. The embedded assumption is that the American all-in-one attorney model is superior to the divided model. It may be more efficient for the attorney. It is not always better for the client.</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The distinction between solicitor and barrister illuminates the different functions within legal representation that the American model fuses into a single role. Understanding these functions helps the living being evaluate what they need: advice and document preparation (the solicitor function) versus court advocacy (the barrister function). Not every legal matter requires both. Not every attorney excels at both. The living being who needs help drafting a contract, preparing a will, or understanding their rights may not need a trial attorney. The living being who needs effective court advocacy may not need an attorney who charges for extensive advisory work outside the courtroom. Understanding the functional distinction allows the living being to seek and pay for what they actually need — and to represent themselves pro se in the advisory and preparation functions while retaining assistance only for the advocacy functions that require professional skill. Unbundled legal services — limited scope representation — is an increasingly recognized model that allows attorneys to perform specific tasks rather than full representation, reducing cost while preserving professional quality for the specific functions that require it.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Faretta v. California, 422 U.S. 806 (1975): right to conduct own defense. ABA Model Rule 1.2(c): limited scope representation. State bar rules on unbundled legal services. The distinction between English solicitor and barrister as an analytical framework for understanding legal functions.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Ask any attorney you consult: what specific functions do you perform in this type of matter, and which of those functions could I perform myself with your guidance? Unbundled legal services — where you pay for specific tasks rather than full representation — can dramatically reduce legal costs while ensuring professional quality where it matters most. The attorney who drafts your motion while you file and argue it pro se is a model that is increasingly accepted and should be actively sought.</w:t>
      </w:r>
    </w:p>
    <w:p>
      <w:pPr>
        <w:spacing w:before="120" w:after="120"/>
        <w:ind w:left="432" w:right="432"/>
        <w:jc w:val="center"/>
      </w:pPr>
      <w:r>
        <w:rPr>
          <w:rFonts w:ascii="Arial" w:hAnsi="Arial"/>
          <w:b w:val="0"/>
          <w:i/>
          <w:color w:val="7A5C00"/>
          <w:sz w:val="22"/>
        </w:rPr>
        <w:t>You do not need an attorney for everything. You need an attorney for the things you cannot do as well yourself. Knowing which things those are — and paying only for those — is the most efficient use of the legal profession that serves you rather than the profession that serves itself.</w:t>
      </w:r>
    </w:p>
    <w:p>
      <w:pPr>
        <w:spacing w:before="200" w:after="200"/>
        <w:jc w:val="center"/>
        <w:pBdr>
          <w:bottom w:val="single" w:sz="2" w:space="1" w:color="888888"/>
        </w:pBdr>
      </w:pPr>
    </w:p>
    <w:p>
      <w:r>
        <w:br w:type="page"/>
      </w:r>
    </w:p>
    <w:p>
      <w:pPr>
        <w:spacing w:before="0" w:after="120"/>
        <w:jc w:val="center"/>
      </w:pPr>
      <w:r>
        <w:rPr>
          <w:rFonts w:ascii="Arial" w:hAnsi="Arial"/>
          <w:b/>
          <w:i w:val="0"/>
          <w:color w:val="1A1A2E"/>
          <w:sz w:val="22"/>
        </w:rPr>
        <w:t>AMENDMENT RECORD — VOLUME EIGHT</w:t>
      </w:r>
    </w:p>
    <w:p>
      <w:pPr>
        <w:spacing w:before="0" w:after="80"/>
        <w:jc w:val="both"/>
      </w:pPr>
      <w:r>
        <w:rPr>
          <w:rFonts w:ascii="Arial" w:hAnsi="Arial"/>
          <w:b w:val="0"/>
          <w:i/>
          <w:color w:val="555577"/>
          <w:sz w:val="21"/>
        </w:rPr>
        <w:t>Volume Eight, First Edition. Published 2026. No amendments recorded at time of first publication. The Eternal Zone will never be amended.</w:t>
      </w:r>
    </w:p>
    <w:p>
      <w:r>
        <w:br w:type="page"/>
      </w:r>
    </w:p>
    <w:p>
      <w:pPr>
        <w:spacing w:before="0" w:after="120"/>
        <w:jc w:val="center"/>
      </w:pPr>
      <w:r>
        <w:rPr>
          <w:rFonts w:ascii="Arial" w:hAnsi="Arial"/>
          <w:b/>
          <w:i w:val="0"/>
          <w:color w:val="1A1A2E"/>
          <w:sz w:val="22"/>
        </w:rPr>
        <w:t>TABLE OF AUTHORITIES — VOLUME EIGHT</w:t>
      </w:r>
    </w:p>
    <w:p>
      <w:pPr>
        <w:spacing w:before="200" w:after="60"/>
        <w:jc w:val="left"/>
        <w:pBdr>
          <w:bottom w:val="single" w:sz="3" w:space="1" w:color="444466"/>
        </w:pBdr>
      </w:pPr>
      <w:r>
        <w:rPr>
          <w:rFonts w:ascii="Arial" w:hAnsi="Arial"/>
          <w:b/>
          <w:i w:val="0"/>
          <w:color w:val="222244"/>
          <w:sz w:val="22"/>
        </w:rPr>
        <w:t>United States Supreme Court Cases</w:t>
      </w:r>
    </w:p>
    <w:p>
      <w:pPr>
        <w:pStyle w:val="ListBullet"/>
        <w:spacing w:after="40"/>
        <w:ind w:left="576"/>
      </w:pPr>
      <w:r>
        <w:rPr>
          <w:rFonts w:ascii="Arial" w:hAnsi="Arial"/>
          <w:sz w:val="21"/>
        </w:rPr>
        <w:t>Blanchard v. Bergeron, 489 U.S. 87 (1989)</w:t>
      </w:r>
    </w:p>
    <w:p>
      <w:pPr>
        <w:pStyle w:val="ListBullet"/>
        <w:spacing w:after="40"/>
        <w:ind w:left="576"/>
      </w:pPr>
      <w:r>
        <w:rPr>
          <w:rFonts w:ascii="Arial" w:hAnsi="Arial"/>
          <w:sz w:val="21"/>
        </w:rPr>
        <w:t>Blum v. Stenson, 465 U.S. 886 (1984)</w:t>
      </w:r>
    </w:p>
    <w:p>
      <w:pPr>
        <w:pStyle w:val="ListBullet"/>
        <w:spacing w:after="40"/>
        <w:ind w:left="576"/>
      </w:pPr>
      <w:r>
        <w:rPr>
          <w:rFonts w:ascii="Arial" w:hAnsi="Arial"/>
          <w:sz w:val="21"/>
        </w:rPr>
        <w:t>Faretta v. California, 422 U.S. 806 (1975)</w:t>
      </w:r>
    </w:p>
    <w:p>
      <w:pPr>
        <w:pStyle w:val="ListBullet"/>
        <w:spacing w:after="40"/>
        <w:ind w:left="576"/>
      </w:pPr>
      <w:r>
        <w:rPr>
          <w:rFonts w:ascii="Arial" w:hAnsi="Arial"/>
          <w:sz w:val="21"/>
        </w:rPr>
        <w:t>Gideon v. Wainwright, 372 U.S. 335 (1963)</w:t>
      </w:r>
    </w:p>
    <w:p>
      <w:pPr>
        <w:pStyle w:val="ListBullet"/>
        <w:spacing w:after="40"/>
        <w:ind w:left="576"/>
      </w:pPr>
      <w:r>
        <w:rPr>
          <w:rFonts w:ascii="Arial" w:hAnsi="Arial"/>
          <w:sz w:val="21"/>
        </w:rPr>
        <w:t>Haines v. Kerner, 404 U.S. 519 (1972)</w:t>
      </w:r>
    </w:p>
    <w:p>
      <w:pPr>
        <w:pStyle w:val="ListBullet"/>
        <w:spacing w:after="40"/>
        <w:ind w:left="576"/>
      </w:pPr>
      <w:r>
        <w:rPr>
          <w:rFonts w:ascii="Arial" w:hAnsi="Arial"/>
          <w:sz w:val="21"/>
        </w:rPr>
        <w:t>Hensley v. Eckerhart, 461 U.S. 424 (1983)</w:t>
      </w:r>
    </w:p>
    <w:p>
      <w:pPr>
        <w:pStyle w:val="ListBullet"/>
        <w:spacing w:after="40"/>
        <w:ind w:left="576"/>
      </w:pPr>
      <w:r>
        <w:rPr>
          <w:rFonts w:ascii="Arial" w:hAnsi="Arial"/>
          <w:sz w:val="21"/>
        </w:rPr>
        <w:t>McKaskle v. Wiggins, 465 U.S. 168 (1984)</w:t>
      </w:r>
    </w:p>
    <w:p>
      <w:pPr>
        <w:pStyle w:val="ListBullet"/>
        <w:spacing w:after="40"/>
        <w:ind w:left="576"/>
      </w:pPr>
      <w:r>
        <w:rPr>
          <w:rFonts w:ascii="Arial" w:hAnsi="Arial"/>
          <w:sz w:val="21"/>
        </w:rPr>
        <w:t>Nix v. Whiteside, 475 U.S. 157 (1986)</w:t>
      </w:r>
    </w:p>
    <w:p>
      <w:pPr>
        <w:pStyle w:val="ListBullet"/>
        <w:spacing w:after="40"/>
        <w:ind w:left="576"/>
      </w:pPr>
      <w:r>
        <w:rPr>
          <w:rFonts w:ascii="Arial" w:hAnsi="Arial"/>
          <w:sz w:val="21"/>
        </w:rPr>
        <w:t>Padilla v. Kentucky, 559 U.S. 356 (2010)</w:t>
      </w:r>
    </w:p>
    <w:p>
      <w:pPr>
        <w:pStyle w:val="ListBullet"/>
        <w:spacing w:after="40"/>
        <w:ind w:left="576"/>
      </w:pPr>
      <w:r>
        <w:rPr>
          <w:rFonts w:ascii="Arial" w:hAnsi="Arial"/>
          <w:sz w:val="21"/>
        </w:rPr>
        <w:t>Powell v. Alabama, 287 U.S. 45 (1932)</w:t>
      </w:r>
    </w:p>
    <w:p>
      <w:pPr>
        <w:pStyle w:val="ListBullet"/>
        <w:spacing w:after="40"/>
        <w:ind w:left="576"/>
      </w:pPr>
      <w:r>
        <w:rPr>
          <w:rFonts w:ascii="Arial" w:hAnsi="Arial"/>
          <w:sz w:val="21"/>
        </w:rPr>
        <w:t>Strickland v. Washington, 466 U.S. 668 (1984)</w:t>
      </w:r>
    </w:p>
    <w:p>
      <w:pPr>
        <w:pStyle w:val="ListBullet"/>
        <w:spacing w:after="40"/>
        <w:ind w:left="576"/>
      </w:pPr>
      <w:r>
        <w:rPr>
          <w:rFonts w:ascii="Arial" w:hAnsi="Arial"/>
          <w:sz w:val="21"/>
        </w:rPr>
        <w:t>Tennessee v. Lane, 541 U.S. 509 (2004)</w:t>
      </w:r>
    </w:p>
    <w:p>
      <w:pPr>
        <w:pStyle w:val="ListBullet"/>
        <w:spacing w:after="40"/>
        <w:ind w:left="576"/>
      </w:pPr>
      <w:r>
        <w:rPr>
          <w:rFonts w:ascii="Arial" w:hAnsi="Arial"/>
          <w:sz w:val="21"/>
        </w:rPr>
        <w:t>Upjohn Co. v. United States, 449 U.S. 383 (1981)</w:t>
      </w:r>
    </w:p>
    <w:p>
      <w:pPr>
        <w:spacing w:before="200" w:after="60"/>
        <w:jc w:val="left"/>
        <w:pBdr>
          <w:bottom w:val="single" w:sz="3" w:space="1" w:color="444466"/>
        </w:pBdr>
      </w:pPr>
      <w:r>
        <w:rPr>
          <w:rFonts w:ascii="Arial" w:hAnsi="Arial"/>
          <w:b/>
          <w:i w:val="0"/>
          <w:color w:val="222244"/>
          <w:sz w:val="22"/>
        </w:rPr>
        <w:t>Professional Conduct Rules and Statutes</w:t>
      </w:r>
    </w:p>
    <w:p>
      <w:pPr>
        <w:pStyle w:val="ListBullet"/>
        <w:spacing w:after="40"/>
        <w:ind w:left="576"/>
      </w:pPr>
      <w:r>
        <w:rPr>
          <w:rFonts w:ascii="Arial" w:hAnsi="Arial"/>
          <w:sz w:val="21"/>
        </w:rPr>
        <w:t>Model Rules of Professional Conduct, Rules 1.1-1.9, 3.3, 3.4, 6.1</w:t>
      </w:r>
    </w:p>
    <w:p>
      <w:pPr>
        <w:pStyle w:val="ListBullet"/>
        <w:spacing w:after="40"/>
        <w:ind w:left="576"/>
      </w:pPr>
      <w:r>
        <w:rPr>
          <w:rFonts w:ascii="Arial" w:hAnsi="Arial"/>
          <w:sz w:val="21"/>
        </w:rPr>
        <w:t>Restatement (Third) of the Law Governing Lawyers</w:t>
      </w:r>
    </w:p>
    <w:p>
      <w:pPr>
        <w:pStyle w:val="ListBullet"/>
        <w:spacing w:after="40"/>
        <w:ind w:left="576"/>
      </w:pPr>
      <w:r>
        <w:rPr>
          <w:rFonts w:ascii="Arial" w:hAnsi="Arial"/>
          <w:sz w:val="21"/>
        </w:rPr>
        <w:t>Federal Rule of Evidence 501 (Privilege)</w:t>
      </w:r>
    </w:p>
    <w:p>
      <w:pPr>
        <w:pStyle w:val="ListBullet"/>
        <w:spacing w:after="40"/>
        <w:ind w:left="576"/>
      </w:pPr>
      <w:r>
        <w:rPr>
          <w:rFonts w:ascii="Arial" w:hAnsi="Arial"/>
          <w:sz w:val="21"/>
        </w:rPr>
        <w:t>42 U.S.C. section 1988 (Attorney Fee Shifting in Civil Rights Cases)</w:t>
      </w:r>
    </w:p>
    <w:p>
      <w:pPr>
        <w:pStyle w:val="ListBullet"/>
        <w:spacing w:after="40"/>
        <w:ind w:left="576"/>
      </w:pPr>
      <w:r>
        <w:rPr>
          <w:rFonts w:ascii="Arial" w:hAnsi="Arial"/>
          <w:sz w:val="21"/>
        </w:rPr>
        <w:t>42 U.S.C. sections 2996 et seq. (Legal Services Corporation Act)</w:t>
      </w:r>
    </w:p>
    <w:p>
      <w:pPr>
        <w:pStyle w:val="ListBullet"/>
        <w:spacing w:after="40"/>
        <w:ind w:left="576"/>
      </w:pPr>
      <w:r>
        <w:rPr>
          <w:rFonts w:ascii="Arial" w:hAnsi="Arial"/>
          <w:sz w:val="21"/>
        </w:rPr>
        <w:t>Plain Writing Act of 2010, 5 U.S.C. section 301</w:t>
      </w:r>
    </w:p>
    <w:p>
      <w:pPr>
        <w:pStyle w:val="ListBullet"/>
        <w:spacing w:after="40"/>
        <w:ind w:left="576"/>
      </w:pPr>
      <w:r>
        <w:rPr>
          <w:rFonts w:ascii="Arial" w:hAnsi="Arial"/>
          <w:sz w:val="21"/>
        </w:rPr>
        <w:t>U.S. Const. amend. VI (Right to Counsel)</w:t>
      </w:r>
    </w:p>
    <w:p>
      <w:pPr>
        <w:pStyle w:val="ListBullet"/>
        <w:spacing w:after="40"/>
        <w:ind w:left="576"/>
      </w:pPr>
      <w:r>
        <w:rPr>
          <w:rFonts w:ascii="Arial" w:hAnsi="Arial"/>
          <w:sz w:val="21"/>
        </w:rPr>
        <w:t>U.S. Const. amend. I (Freedom to Speak and Write About Law)</w:t>
      </w:r>
    </w:p>
    <w:p>
      <w:pPr>
        <w:pStyle w:val="ListBullet"/>
        <w:spacing w:after="40"/>
        <w:ind w:left="576"/>
      </w:pPr>
      <w:r>
        <w:rPr>
          <w:rFonts w:ascii="Arial" w:hAnsi="Arial"/>
          <w:sz w:val="21"/>
        </w:rPr>
        <w:t>Georgia State Bar Rules of Professional Conduct</w:t>
      </w:r>
    </w:p>
    <w:p>
      <w:pPr>
        <w:pStyle w:val="ListBullet"/>
        <w:spacing w:after="40"/>
        <w:ind w:left="576"/>
      </w:pPr>
      <w:r>
        <w:rPr>
          <w:rFonts w:ascii="Arial" w:hAnsi="Arial"/>
          <w:sz w:val="21"/>
        </w:rPr>
        <w:t>Georgia Legal Aid: 1-844-LEGALAID</w:t>
      </w:r>
    </w:p>
    <w:p>
      <w:pPr>
        <w:spacing w:before="200" w:after="60"/>
        <w:jc w:val="left"/>
        <w:pBdr>
          <w:bottom w:val="single" w:sz="3" w:space="1" w:color="444466"/>
        </w:pBdr>
      </w:pPr>
      <w:r>
        <w:rPr>
          <w:rFonts w:ascii="Arial" w:hAnsi="Arial"/>
          <w:b/>
          <w:i w:val="0"/>
          <w:color w:val="222244"/>
          <w:sz w:val="22"/>
        </w:rPr>
        <w:t>Doctrine and Counter-Canon Sources</w:t>
      </w:r>
    </w:p>
    <w:p>
      <w:pPr>
        <w:pStyle w:val="ListBullet"/>
        <w:spacing w:after="40"/>
        <w:ind w:left="576"/>
      </w:pPr>
      <w:r>
        <w:rPr>
          <w:rFonts w:ascii="Arial" w:hAnsi="Arial"/>
          <w:sz w:val="21"/>
        </w:rPr>
        <w:t>Rickey Allan Howard, The Counter-Canon: A Dictionary of Living Law, Volumes One-Seven (2026)</w:t>
      </w:r>
    </w:p>
    <w:p>
      <w:pPr>
        <w:pStyle w:val="ListBullet"/>
        <w:spacing w:after="40"/>
        <w:ind w:left="576"/>
      </w:pPr>
      <w:r>
        <w:rPr>
          <w:rFonts w:ascii="Arial" w:hAnsi="Arial"/>
          <w:sz w:val="21"/>
        </w:rPr>
        <w:t>Rickey Allan Howard, The Doctrine of Pre-Political Sovereign Being (2026)</w:t>
      </w:r>
    </w:p>
    <w:p>
      <w:pPr>
        <w:pStyle w:val="ListBullet"/>
        <w:spacing w:after="40"/>
        <w:ind w:left="576"/>
      </w:pPr>
      <w:r>
        <w:rPr>
          <w:rFonts w:ascii="Arial" w:hAnsi="Arial"/>
          <w:sz w:val="21"/>
        </w:rPr>
        <w:t>Rickey Allan Howard, Declaration of Standing (2026)</w:t>
      </w:r>
    </w:p>
    <w:p>
      <w:pPr>
        <w:pStyle w:val="ListBullet"/>
        <w:spacing w:after="40"/>
        <w:ind w:left="576"/>
      </w:pPr>
      <w:r>
        <w:rPr>
          <w:rFonts w:ascii="Arial" w:hAnsi="Arial"/>
          <w:sz w:val="21"/>
        </w:rPr>
        <w:t>Rickey Allan Howard, Sovereign Self Legal Defense Series, Toolkits One-Seven (2026)</w:t>
      </w:r>
    </w:p>
    <w:p>
      <w:pPr>
        <w:pStyle w:val="ListBullet"/>
        <w:spacing w:after="40"/>
        <w:ind w:left="576"/>
      </w:pPr>
      <w:r>
        <w:rPr>
          <w:rFonts w:ascii="Arial" w:hAnsi="Arial"/>
          <w:sz w:val="21"/>
        </w:rPr>
        <w:t>Rickey Allan Howard, The Sovereign Self: Reclaiming Divine Intent in Law and Governance, Volumes I-VII (2025-2026)</w:t>
      </w:r>
    </w:p>
    <w:p>
      <w:r>
        <w:br w:type="page"/>
      </w:r>
    </w:p>
    <w:p>
      <w:pPr>
        <w:spacing w:before="0" w:after="120"/>
        <w:jc w:val="center"/>
        <w:pBdr>
          <w:bottom w:val="single" w:sz="4" w:space="1" w:color="1a1a2e"/>
        </w:pBdr>
      </w:pPr>
    </w:p>
    <w:p>
      <w:pPr>
        <w:spacing w:before="80" w:after="120"/>
        <w:jc w:val="center"/>
      </w:pPr>
      <w:r>
        <w:rPr>
          <w:rFonts w:ascii="Arial" w:hAnsi="Arial"/>
          <w:b/>
          <w:i w:val="0"/>
          <w:color w:val="1A1A2E"/>
          <w:sz w:val="20"/>
        </w:rPr>
        <w:t>A NOTE ON WHAT COMES NEXT</w:t>
      </w:r>
    </w:p>
    <w:p>
      <w:pPr>
        <w:spacing w:before="0" w:after="200"/>
        <w:jc w:val="center"/>
      </w:pPr>
      <w:r>
        <w:rPr>
          <w:rFonts w:ascii="Arial" w:hAnsi="Arial"/>
          <w:b w:val="0"/>
          <w:i/>
          <w:color w:val="222244"/>
          <w:sz w:val="21"/>
        </w:rPr>
        <w:t>The Counter-Canon continues. Volume Nine will enter the words of testimony and record: Affidavit, Declaration, Deposition, Exhibit, Hearsay, Oath, Perjury, Record, Testimony, Witness. These are the words that determine what the legal system will believe and what it will preserve. The living being who understands them understands how to build the record that survives the moment and serves the future.</w:t>
      </w: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160"/>
        <w:jc w:val="center"/>
      </w:pPr>
      <w:r>
        <w:rPr>
          <w:rFonts w:ascii="Arial" w:hAnsi="Arial"/>
          <w:b w:val="0"/>
          <w:i/>
          <w:color w:val="555577"/>
          <w:sz w:val="18"/>
        </w:rPr>
        <w:t>The Counter-Canon: A Dictionary of Living Law</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