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color w:val="1A1A2E"/>
          <w:sz w:val="36"/>
        </w:rPr>
        <w:t>THE COUNTER-CANON</w:t>
      </w:r>
    </w:p>
    <w:p>
      <w:pPr>
        <w:spacing w:before="0" w:after="40"/>
        <w:jc w:val="center"/>
      </w:pPr>
      <w:r>
        <w:rPr>
          <w:rFonts w:ascii="Arial" w:hAnsi="Arial"/>
          <w:b w:val="0"/>
          <w:i/>
          <w:color w:val="222244"/>
          <w:sz w:val="24"/>
        </w:rPr>
        <w:t>A Dictionary of Living Law</w:t>
      </w:r>
    </w:p>
    <w:p>
      <w:pPr>
        <w:spacing w:before="80" w:after="80"/>
        <w:jc w:val="center"/>
        <w:pBdr>
          <w:bottom w:val="single" w:sz="8" w:space="1" w:color="1a1a2e"/>
        </w:pBdr>
      </w:pPr>
    </w:p>
    <w:p>
      <w:pPr>
        <w:spacing w:before="80" w:after="40"/>
        <w:jc w:val="center"/>
      </w:pPr>
      <w:r>
        <w:rPr>
          <w:rFonts w:ascii="Arial" w:hAnsi="Arial"/>
          <w:b/>
          <w:i w:val="0"/>
          <w:color w:val="1A1A2E"/>
          <w:sz w:val="24"/>
        </w:rPr>
        <w:t>SYSTEM ARCHITECTURE AND OPERATING PRINCIPLES</w:t>
      </w:r>
    </w:p>
    <w:p>
      <w:pPr>
        <w:spacing w:before="0" w:after="160"/>
        <w:jc w:val="center"/>
      </w:pPr>
      <w:r>
        <w:rPr>
          <w:rFonts w:ascii="Arial" w:hAnsi="Arial"/>
          <w:b w:val="0"/>
          <w:i/>
          <w:color w:val="555577"/>
          <w:sz w:val="20"/>
        </w:rPr>
        <w:t>The Blueprint for a Living Legal Reference</w:t>
      </w:r>
    </w:p>
    <w:p>
      <w:pPr>
        <w:spacing w:before="40" w:after="120"/>
        <w:jc w:val="center"/>
        <w:pBdr>
          <w:bottom w:val="single" w:sz="4" w:space="1" w:color="1a1a2e"/>
        </w:pBdr>
      </w:pPr>
    </w:p>
    <w:p>
      <w:pPr>
        <w:spacing w:before="80" w:after="40"/>
        <w:jc w:val="center"/>
      </w:pPr>
      <w:r>
        <w:rPr>
          <w:rFonts w:ascii="Arial" w:hAnsi="Arial"/>
          <w:b w:val="0"/>
          <w:i w:val="0"/>
          <w:color w:val="555577"/>
          <w:sz w:val="20"/>
        </w:rPr>
        <w:t>Rickey Allan Howard  |  Athens, Georgia  |  2026</w:t>
      </w:r>
    </w:p>
    <w:p>
      <w:pPr>
        <w:spacing w:before="0" w:after="40"/>
        <w:jc w:val="center"/>
      </w:pPr>
      <w:r>
        <w:rPr>
          <w:rFonts w:ascii="Arial" w:hAnsi="Arial"/>
          <w:b w:val="0"/>
          <w:i/>
          <w:color w:val="555577"/>
          <w:sz w:val="18"/>
        </w:rPr>
        <w:t>Founding Document of the Counter-Canon Project</w:t>
      </w:r>
    </w:p>
    <w:p>
      <w:pPr>
        <w:spacing w:before="0" w:after="160"/>
        <w:jc w:val="center"/>
      </w:pPr>
      <w:r>
        <w:rPr>
          <w:rFonts w:ascii="Arial" w:hAnsi="Arial"/>
          <w:b w:val="0"/>
          <w:i/>
          <w:color w:val="004D4D"/>
          <w:sz w:val="18"/>
        </w:rPr>
        <w:t>Open Access  |  Claude API Powered  |  Amendment Record Architecture</w:t>
      </w:r>
    </w:p>
    <w:p>
      <w:r>
        <w:br w:type="page"/>
      </w:r>
    </w:p>
    <w:p>
      <w:pPr>
        <w:spacing w:before="0" w:after="120"/>
        <w:jc w:val="center"/>
      </w:pPr>
      <w:r>
        <w:rPr>
          <w:rFonts w:ascii="Arial" w:hAnsi="Arial"/>
          <w:b/>
          <w:i w:val="0"/>
          <w:color w:val="1A1A2E"/>
          <w:sz w:val="22"/>
        </w:rPr>
        <w:t>VISION STATEMENT</w:t>
      </w:r>
    </w:p>
    <w:p>
      <w:pPr>
        <w:spacing w:before="0" w:after="200"/>
        <w:jc w:val="center"/>
      </w:pPr>
      <w:r>
        <w:rPr>
          <w:rFonts w:ascii="Arial" w:hAnsi="Arial"/>
          <w:b w:val="0"/>
          <w:i/>
          <w:color w:val="222244"/>
          <w:sz w:val="21"/>
        </w:rPr>
        <w:t>The Counter-Canon is the first living legal dictionary — a reference work that evolves in real time with the law it documents and contests. It is powered by AI analysis of new case law, published as a periodic document series with a full amendment record, and distributed freely to every living being who needs it. Its foundation never changes. Its surface evolves continuously. This document establishes the architecture that makes both possible.</w:t>
      </w:r>
    </w:p>
    <w:p>
      <w:r>
        <w:br w:type="page"/>
      </w:r>
    </w:p>
    <w:p>
      <w:pPr>
        <w:spacing w:before="0" w:after="160"/>
        <w:jc w:val="center"/>
      </w:pPr>
      <w:r>
        <w:rPr>
          <w:rFonts w:ascii="Arial" w:hAnsi="Arial"/>
          <w:b/>
          <w:i w:val="0"/>
          <w:color w:val="1A1A2E"/>
          <w:sz w:val="22"/>
        </w:rPr>
        <w:t>TABLE OF CONTENTS</w:t>
      </w:r>
    </w:p>
    <w:p>
      <w:pPr>
        <w:spacing w:before="40" w:after="40"/>
        <w:ind w:left="288"/>
        <w:jc w:val="left"/>
      </w:pPr>
      <w:r>
        <w:rPr>
          <w:rFonts w:ascii="Arial" w:hAnsi="Arial"/>
          <w:b/>
          <w:i w:val="0"/>
          <w:color w:val="1A1A2E"/>
          <w:sz w:val="21"/>
        </w:rPr>
        <w:t xml:space="preserve">I.  </w:t>
      </w:r>
      <w:r>
        <w:rPr>
          <w:rFonts w:ascii="Arial" w:hAnsi="Arial"/>
          <w:b w:val="0"/>
          <w:i w:val="0"/>
          <w:color w:val="000000"/>
          <w:sz w:val="21"/>
        </w:rPr>
        <w:t>The Two Zones: What Changes and What Does Not</w:t>
      </w:r>
    </w:p>
    <w:p>
      <w:pPr>
        <w:spacing w:before="40" w:after="40"/>
        <w:ind w:left="288"/>
        <w:jc w:val="left"/>
      </w:pPr>
      <w:r>
        <w:rPr>
          <w:rFonts w:ascii="Arial" w:hAnsi="Arial"/>
          <w:b/>
          <w:i w:val="0"/>
          <w:color w:val="1A1A2E"/>
          <w:sz w:val="21"/>
        </w:rPr>
        <w:t xml:space="preserve">II.  </w:t>
      </w:r>
      <w:r>
        <w:rPr>
          <w:rFonts w:ascii="Arial" w:hAnsi="Arial"/>
          <w:b w:val="0"/>
          <w:i w:val="0"/>
          <w:color w:val="000000"/>
          <w:sz w:val="21"/>
        </w:rPr>
        <w:t>The Edition Model: How Volumes and Updates Work</w:t>
      </w:r>
    </w:p>
    <w:p>
      <w:pPr>
        <w:spacing w:before="40" w:after="40"/>
        <w:ind w:left="288"/>
        <w:jc w:val="left"/>
      </w:pPr>
      <w:r>
        <w:rPr>
          <w:rFonts w:ascii="Arial" w:hAnsi="Arial"/>
          <w:b/>
          <w:i w:val="0"/>
          <w:color w:val="1A1A2E"/>
          <w:sz w:val="21"/>
        </w:rPr>
        <w:t xml:space="preserve">III.  </w:t>
      </w:r>
      <w:r>
        <w:rPr>
          <w:rFonts w:ascii="Arial" w:hAnsi="Arial"/>
          <w:b w:val="0"/>
          <w:i w:val="0"/>
          <w:color w:val="000000"/>
          <w:sz w:val="21"/>
        </w:rPr>
        <w:t>The Amendment Record: The Legal Significance of Tracking Change</w:t>
      </w:r>
    </w:p>
    <w:p>
      <w:pPr>
        <w:spacing w:before="40" w:after="40"/>
        <w:ind w:left="288"/>
        <w:jc w:val="left"/>
      </w:pPr>
      <w:r>
        <w:rPr>
          <w:rFonts w:ascii="Arial" w:hAnsi="Arial"/>
          <w:b/>
          <w:i w:val="0"/>
          <w:color w:val="1A1A2E"/>
          <w:sz w:val="21"/>
        </w:rPr>
        <w:t xml:space="preserve">IV.  </w:t>
      </w:r>
      <w:r>
        <w:rPr>
          <w:rFonts w:ascii="Arial" w:hAnsi="Arial"/>
          <w:b w:val="0"/>
          <w:i w:val="0"/>
          <w:color w:val="000000"/>
          <w:sz w:val="21"/>
        </w:rPr>
        <w:t>The Claude API Update Engine: How It Works</w:t>
      </w:r>
    </w:p>
    <w:p>
      <w:pPr>
        <w:spacing w:before="40" w:after="40"/>
        <w:ind w:left="288"/>
        <w:jc w:val="left"/>
      </w:pPr>
      <w:r>
        <w:rPr>
          <w:rFonts w:ascii="Arial" w:hAnsi="Arial"/>
          <w:b/>
          <w:i w:val="0"/>
          <w:color w:val="1A1A2E"/>
          <w:sz w:val="21"/>
        </w:rPr>
        <w:t xml:space="preserve">V.  </w:t>
      </w:r>
      <w:r>
        <w:rPr>
          <w:rFonts w:ascii="Arial" w:hAnsi="Arial"/>
          <w:b w:val="0"/>
          <w:i w:val="0"/>
          <w:color w:val="000000"/>
          <w:sz w:val="21"/>
        </w:rPr>
        <w:t>The Update Workflow: From New Case Law to Published Entry</w:t>
      </w:r>
    </w:p>
    <w:p>
      <w:pPr>
        <w:spacing w:before="40" w:after="40"/>
        <w:ind w:left="288"/>
        <w:jc w:val="left"/>
      </w:pPr>
      <w:r>
        <w:rPr>
          <w:rFonts w:ascii="Arial" w:hAnsi="Arial"/>
          <w:b/>
          <w:i w:val="0"/>
          <w:color w:val="1A1A2E"/>
          <w:sz w:val="21"/>
        </w:rPr>
        <w:t xml:space="preserve">VI.  </w:t>
      </w:r>
      <w:r>
        <w:rPr>
          <w:rFonts w:ascii="Arial" w:hAnsi="Arial"/>
          <w:b w:val="0"/>
          <w:i w:val="0"/>
          <w:color w:val="000000"/>
          <w:sz w:val="21"/>
        </w:rPr>
        <w:t>Editorial Authority: The Human in the Loop</w:t>
      </w:r>
    </w:p>
    <w:p>
      <w:pPr>
        <w:spacing w:before="40" w:after="40"/>
        <w:ind w:left="288"/>
        <w:jc w:val="left"/>
      </w:pPr>
      <w:r>
        <w:rPr>
          <w:rFonts w:ascii="Arial" w:hAnsi="Arial"/>
          <w:b/>
          <w:i w:val="0"/>
          <w:color w:val="1A1A2E"/>
          <w:sz w:val="21"/>
        </w:rPr>
        <w:t xml:space="preserve">VII.  </w:t>
      </w:r>
      <w:r>
        <w:rPr>
          <w:rFonts w:ascii="Arial" w:hAnsi="Arial"/>
          <w:b w:val="0"/>
          <w:i w:val="0"/>
          <w:color w:val="000000"/>
          <w:sz w:val="21"/>
        </w:rPr>
        <w:t>Open Access Architecture: Distribution and Preservation</w:t>
      </w:r>
    </w:p>
    <w:p>
      <w:pPr>
        <w:spacing w:before="40" w:after="40"/>
        <w:ind w:left="288"/>
        <w:jc w:val="left"/>
      </w:pPr>
      <w:r>
        <w:rPr>
          <w:rFonts w:ascii="Arial" w:hAnsi="Arial"/>
          <w:b/>
          <w:i w:val="0"/>
          <w:color w:val="1A1A2E"/>
          <w:sz w:val="21"/>
        </w:rPr>
        <w:t xml:space="preserve">VIII.  </w:t>
      </w:r>
      <w:r>
        <w:rPr>
          <w:rFonts w:ascii="Arial" w:hAnsi="Arial"/>
          <w:b w:val="0"/>
          <w:i w:val="0"/>
          <w:color w:val="000000"/>
          <w:sz w:val="21"/>
        </w:rPr>
        <w:t>The Entry Format Standard: Immutable Specification</w:t>
      </w:r>
    </w:p>
    <w:p>
      <w:pPr>
        <w:spacing w:before="40" w:after="40"/>
        <w:ind w:left="288"/>
        <w:jc w:val="left"/>
      </w:pPr>
      <w:r>
        <w:rPr>
          <w:rFonts w:ascii="Arial" w:hAnsi="Arial"/>
          <w:b/>
          <w:i w:val="0"/>
          <w:color w:val="1A1A2E"/>
          <w:sz w:val="21"/>
        </w:rPr>
        <w:t xml:space="preserve">IX.  </w:t>
      </w:r>
      <w:r>
        <w:rPr>
          <w:rFonts w:ascii="Arial" w:hAnsi="Arial"/>
          <w:b w:val="0"/>
          <w:i w:val="0"/>
          <w:color w:val="000000"/>
          <w:sz w:val="21"/>
        </w:rPr>
        <w:t>Volume Roadmap: Words Scheduled for Coverage</w:t>
      </w:r>
    </w:p>
    <w:p>
      <w:pPr>
        <w:spacing w:before="40" w:after="40"/>
        <w:ind w:left="288"/>
        <w:jc w:val="left"/>
      </w:pPr>
      <w:r>
        <w:rPr>
          <w:rFonts w:ascii="Arial" w:hAnsi="Arial"/>
          <w:b/>
          <w:i w:val="0"/>
          <w:color w:val="1A1A2E"/>
          <w:sz w:val="21"/>
        </w:rPr>
        <w:t xml:space="preserve">X.  </w:t>
      </w:r>
      <w:r>
        <w:rPr>
          <w:rFonts w:ascii="Arial" w:hAnsi="Arial"/>
          <w:b w:val="0"/>
          <w:i w:val="0"/>
          <w:color w:val="000000"/>
          <w:sz w:val="21"/>
        </w:rPr>
        <w:t>The Founding Principles: What This Project Will Never Do</w:t>
      </w:r>
    </w:p>
    <w:p>
      <w:r>
        <w:br w:type="page"/>
      </w:r>
    </w:p>
    <w:p>
      <w:pPr>
        <w:spacing w:before="320" w:after="80"/>
        <w:jc w:val="left"/>
        <w:pBdr>
          <w:bottom w:val="single" w:sz="4" w:space="1" w:color="1a1a2e"/>
        </w:pBdr>
      </w:pPr>
      <w:r>
        <w:rPr>
          <w:rFonts w:ascii="Arial" w:hAnsi="Arial"/>
          <w:b/>
          <w:i w:val="0"/>
          <w:color w:val="1A1A2E"/>
          <w:sz w:val="24"/>
        </w:rPr>
        <w:t>I. THE TWO ZONES: WHAT CHANGES AND WHAT DOES NOT</w:t>
      </w:r>
    </w:p>
    <w:p>
      <w:pPr>
        <w:spacing w:before="0" w:after="120"/>
        <w:jc w:val="both"/>
      </w:pPr>
      <w:r>
        <w:rPr>
          <w:rFonts w:ascii="Arial" w:hAnsi="Arial"/>
          <w:b w:val="0"/>
          <w:i w:val="0"/>
          <w:color w:val="000000"/>
          <w:sz w:val="21"/>
        </w:rPr>
        <w:t>Every entry in the Counter-Canon is divided into two permanent zones. This division is the architectural core of the entire project. It is what makes the Counter-Canon simultaneously current and eternal.</w:t>
      </w:r>
    </w:p>
    <w:p>
      <w:pPr>
        <w:spacing w:before="200" w:after="60"/>
        <w:jc w:val="left"/>
      </w:pPr>
      <w:r>
        <w:rPr>
          <w:rFonts w:ascii="Arial" w:hAnsi="Arial"/>
          <w:b/>
          <w:i w:val="0"/>
          <w:color w:val="004D4D"/>
          <w:sz w:val="22"/>
        </w:rPr>
        <w:t>The Living Zone</w:t>
      </w:r>
    </w:p>
    <w:p>
      <w:pPr>
        <w:spacing w:before="0" w:after="120"/>
        <w:jc w:val="both"/>
      </w:pPr>
      <w:r>
        <w:rPr>
          <w:rFonts w:ascii="Arial" w:hAnsi="Arial"/>
          <w:b w:val="0"/>
          <w:i w:val="0"/>
          <w:color w:val="000000"/>
          <w:sz w:val="21"/>
        </w:rPr>
        <w:t>The Living Zone contains the elements of each entry that are subject to legal evolution. As case law develops, statutes change, agency interpretations shift, and international instruments are ratified or amended, the Living Zone is updated to reflect the current state of the law. The Living Zone contains:</w:t>
      </w:r>
    </w:p>
    <w:p>
      <w:pPr>
        <w:pStyle w:val="ListBullet"/>
        <w:spacing w:after="60"/>
        <w:ind w:left="576"/>
      </w:pPr>
      <w:r>
        <w:rPr>
          <w:rFonts w:ascii="Arial" w:hAnsi="Arial"/>
          <w:sz w:val="21"/>
        </w:rPr>
        <w:t>The Dominant Definition: updated when authoritative sources revise the word's primary legal meaning.</w:t>
      </w:r>
    </w:p>
    <w:p>
      <w:pPr>
        <w:pStyle w:val="ListBullet"/>
        <w:spacing w:after="60"/>
        <w:ind w:left="576"/>
      </w:pPr>
      <w:r>
        <w:rPr>
          <w:rFonts w:ascii="Arial" w:hAnsi="Arial"/>
          <w:sz w:val="21"/>
        </w:rPr>
        <w:t>The Counter-Definition: expanded, refined, or strengthened when new cases or statutes provide additional legal grounding.</w:t>
      </w:r>
    </w:p>
    <w:p>
      <w:pPr>
        <w:pStyle w:val="ListBullet"/>
        <w:spacing w:after="60"/>
        <w:ind w:left="576"/>
      </w:pPr>
      <w:r>
        <w:rPr>
          <w:rFonts w:ascii="Arial" w:hAnsi="Arial"/>
          <w:sz w:val="21"/>
        </w:rPr>
        <w:t>The Authority: updated with new citations when new decisions, statutes, or instruments support or challenge the counter-definition.</w:t>
      </w:r>
    </w:p>
    <w:p>
      <w:pPr>
        <w:pStyle w:val="ListBullet"/>
        <w:spacing w:after="60"/>
        <w:ind w:left="576"/>
      </w:pPr>
      <w:r>
        <w:rPr>
          <w:rFonts w:ascii="Arial" w:hAnsi="Arial"/>
          <w:sz w:val="21"/>
        </w:rPr>
        <w:t>The Practical Application: updated when procedural or substantive changes affect how the counter-definition is deployed.</w:t>
      </w:r>
    </w:p>
    <w:p>
      <w:pPr>
        <w:spacing w:before="80" w:after="120"/>
        <w:jc w:val="both"/>
      </w:pPr>
      <w:r>
        <w:rPr>
          <w:rFonts w:ascii="Arial" w:hAnsi="Arial"/>
          <w:b w:val="0"/>
          <w:i w:val="0"/>
          <w:color w:val="000000"/>
          <w:sz w:val="21"/>
        </w:rPr>
        <w:t>Every change to the Living Zone is logged in the Amendment Record with the date, the triggering authority, and the nature of the change. No change is made without a documented legal basis.</w:t>
      </w:r>
    </w:p>
    <w:p>
      <w:pPr>
        <w:spacing w:before="200" w:after="60"/>
        <w:jc w:val="left"/>
      </w:pPr>
      <w:r>
        <w:rPr>
          <w:rFonts w:ascii="Arial" w:hAnsi="Arial"/>
          <w:b/>
          <w:i w:val="0"/>
          <w:color w:val="7A5C00"/>
          <w:sz w:val="22"/>
        </w:rPr>
        <w:t>The Eternal Zone</w:t>
      </w:r>
    </w:p>
    <w:p>
      <w:pPr>
        <w:spacing w:before="0" w:after="120"/>
        <w:jc w:val="both"/>
      </w:pPr>
      <w:r>
        <w:rPr>
          <w:rFonts w:ascii="Arial" w:hAnsi="Arial"/>
          <w:b w:val="0"/>
          <w:i w:val="0"/>
          <w:color w:val="000000"/>
          <w:sz w:val="21"/>
        </w:rPr>
        <w:t>The Eternal Zone contains the elements of each entry that are not subject to legal evolution — because they are not legal arguments. They are truths. The Eternal Zone contains:</w:t>
      </w:r>
    </w:p>
    <w:p>
      <w:pPr>
        <w:pStyle w:val="ListBullet"/>
        <w:spacing w:after="60"/>
        <w:ind w:left="576"/>
      </w:pPr>
      <w:r>
        <w:rPr>
          <w:rFonts w:ascii="Arial" w:hAnsi="Arial"/>
          <w:sz w:val="21"/>
        </w:rPr>
        <w:t>The Embedded Assumption: a historical and analytical fact about why the dominant definition was written as it was. History does not change.</w:t>
      </w:r>
    </w:p>
    <w:p>
      <w:pPr>
        <w:pStyle w:val="ListBullet"/>
        <w:spacing w:after="60"/>
        <w:ind w:left="576"/>
      </w:pPr>
      <w:r>
        <w:rPr>
          <w:rFonts w:ascii="Arial" w:hAnsi="Arial"/>
          <w:sz w:val="21"/>
        </w:rPr>
        <w:t>The Truth: the irreducible statement about the living being's nature that no court, no statute, and no definition can ultimately contradict. Truth does not change.</w:t>
      </w:r>
    </w:p>
    <w:p>
      <w:pPr>
        <w:spacing w:before="80" w:after="80"/>
        <w:ind w:left="288"/>
        <w:jc w:val="both"/>
      </w:pPr>
      <w:r>
        <w:rPr>
          <w:rFonts w:ascii="Arial" w:hAnsi="Arial"/>
          <w:b/>
          <w:i w:val="0"/>
          <w:color w:val="7A5C00"/>
          <w:sz w:val="21"/>
        </w:rPr>
        <w:t xml:space="preserve">KEY POINT: </w:t>
      </w:r>
      <w:r>
        <w:rPr>
          <w:rFonts w:ascii="Arial" w:hAnsi="Arial"/>
          <w:b w:val="0"/>
          <w:i w:val="0"/>
          <w:color w:val="000000"/>
          <w:sz w:val="21"/>
        </w:rPr>
        <w:t>The Eternal Zone is what makes the Counter-Canon something more than a legal reference. Every other legal dictionary is entirely in the Living Zone — it tracks what the law says. The Counter-Canon also tracks what is true regardless of what the law says. That distinction is its entire purpose.</w:t>
      </w:r>
    </w:p>
    <w:p>
      <w:pPr>
        <w:spacing w:before="160" w:after="160"/>
        <w:jc w:val="center"/>
        <w:pBdr>
          <w:bottom w:val="single" w:sz="4" w:space="1" w:color="1a1a2e"/>
        </w:pBdr>
      </w:pPr>
    </w:p>
    <w:p>
      <w:pPr>
        <w:spacing w:before="320" w:after="80"/>
        <w:jc w:val="left"/>
        <w:pBdr>
          <w:bottom w:val="single" w:sz="4" w:space="1" w:color="1a1a2e"/>
        </w:pBdr>
      </w:pPr>
      <w:r>
        <w:rPr>
          <w:rFonts w:ascii="Arial" w:hAnsi="Arial"/>
          <w:b/>
          <w:i w:val="0"/>
          <w:color w:val="1A1A2E"/>
          <w:sz w:val="24"/>
        </w:rPr>
        <w:t>II. THE EDITION MODEL: HOW VOLUMES AND UPDATES WORK</w:t>
      </w:r>
    </w:p>
    <w:p>
      <w:pPr>
        <w:spacing w:before="200" w:after="60"/>
        <w:jc w:val="left"/>
      </w:pPr>
      <w:r>
        <w:rPr>
          <w:rFonts w:ascii="Arial" w:hAnsi="Arial"/>
          <w:b/>
          <w:i w:val="0"/>
          <w:color w:val="222244"/>
          <w:sz w:val="22"/>
        </w:rPr>
        <w:t>Volumes</w:t>
      </w:r>
    </w:p>
    <w:p>
      <w:pPr>
        <w:spacing w:before="0" w:after="120"/>
        <w:jc w:val="both"/>
      </w:pPr>
      <w:r>
        <w:rPr>
          <w:rFonts w:ascii="Arial" w:hAnsi="Arial"/>
          <w:b w:val="0"/>
          <w:i w:val="0"/>
          <w:color w:val="000000"/>
          <w:sz w:val="21"/>
        </w:rPr>
        <w:t>The Counter-Canon is organized into volumes by alphabetical range. Volume One covers C, L, P, and S — the foundational words of the doctrine. Subsequent volumes expand the coverage alphabetically while deepening the treatment of words already entered. Each volume is a complete, standalone publication with its own ISBN, its own publication date, and its own amendment record.</w:t>
      </w:r>
    </w:p>
    <w:p>
      <w:pPr>
        <w:spacing w:before="200" w:after="60"/>
        <w:jc w:val="left"/>
      </w:pPr>
      <w:r>
        <w:rPr>
          <w:rFonts w:ascii="Arial" w:hAnsi="Arial"/>
          <w:b/>
          <w:i w:val="0"/>
          <w:color w:val="222244"/>
          <w:sz w:val="22"/>
        </w:rPr>
        <w:t>Editions</w:t>
      </w:r>
    </w:p>
    <w:p>
      <w:pPr>
        <w:spacing w:before="0" w:after="120"/>
        <w:jc w:val="both"/>
      </w:pPr>
      <w:r>
        <w:rPr>
          <w:rFonts w:ascii="Arial" w:hAnsi="Arial"/>
          <w:b w:val="0"/>
          <w:i w:val="0"/>
          <w:color w:val="000000"/>
          <w:sz w:val="21"/>
        </w:rPr>
        <w:t>Each volume is published in dated editions. The First Edition is the founding text. Subsequent editions are triggered by one of three conditions:</w:t>
      </w:r>
    </w:p>
    <w:p>
      <w:pPr>
        <w:spacing w:before="100" w:after="60"/>
        <w:jc w:val="both"/>
      </w:pPr>
      <w:r>
        <w:rPr>
          <w:rFonts w:ascii="Arial" w:hAnsi="Arial"/>
          <w:b/>
          <w:i w:val="0"/>
          <w:color w:val="222244"/>
          <w:sz w:val="21"/>
        </w:rPr>
        <w:t xml:space="preserve">Significant Legal Change:  </w:t>
      </w:r>
      <w:r>
        <w:rPr>
          <w:rFonts w:ascii="Arial" w:hAnsi="Arial"/>
          <w:b w:val="0"/>
          <w:i w:val="0"/>
          <w:color w:val="000000"/>
          <w:sz w:val="21"/>
        </w:rPr>
        <w:t>A Supreme Court decision, major federal statute, or binding international instrument materially changes the legal landscape for one or more entries. This triggers an expedited edition.</w:t>
      </w:r>
    </w:p>
    <w:p>
      <w:pPr>
        <w:spacing w:before="100" w:after="60"/>
        <w:jc w:val="both"/>
      </w:pPr>
      <w:r>
        <w:rPr>
          <w:rFonts w:ascii="Arial" w:hAnsi="Arial"/>
          <w:b/>
          <w:i w:val="0"/>
          <w:color w:val="222244"/>
          <w:sz w:val="21"/>
        </w:rPr>
        <w:t xml:space="preserve">Scheduled Annual Review:  </w:t>
      </w:r>
      <w:r>
        <w:rPr>
          <w:rFonts w:ascii="Arial" w:hAnsi="Arial"/>
          <w:b w:val="0"/>
          <w:i w:val="0"/>
          <w:color w:val="000000"/>
          <w:sz w:val="21"/>
        </w:rPr>
        <w:t>Every calendar year, every entry in every published volume is reviewed against the current state of the law. Any entry requiring update triggers a new edition of its volume.</w:t>
      </w:r>
    </w:p>
    <w:p>
      <w:pPr>
        <w:spacing w:before="100" w:after="60"/>
        <w:jc w:val="both"/>
      </w:pPr>
      <w:r>
        <w:rPr>
          <w:rFonts w:ascii="Arial" w:hAnsi="Arial"/>
          <w:b/>
          <w:i w:val="0"/>
          <w:color w:val="222244"/>
          <w:sz w:val="21"/>
        </w:rPr>
        <w:t xml:space="preserve">New Word Coverage:  </w:t>
      </w:r>
      <w:r>
        <w:rPr>
          <w:rFonts w:ascii="Arial" w:hAnsi="Arial"/>
          <w:b w:val="0"/>
          <w:i w:val="0"/>
          <w:color w:val="000000"/>
          <w:sz w:val="21"/>
        </w:rPr>
        <w:t>When a new set of words is sufficiently developed to meet the entry format standard, a new volume is published.</w:t>
      </w:r>
    </w:p>
    <w:p>
      <w:pPr>
        <w:spacing w:before="200" w:after="60"/>
        <w:jc w:val="left"/>
      </w:pPr>
      <w:r>
        <w:rPr>
          <w:rFonts w:ascii="Arial" w:hAnsi="Arial"/>
          <w:b/>
          <w:i w:val="0"/>
          <w:color w:val="222244"/>
          <w:sz w:val="22"/>
        </w:rPr>
        <w:t>Edition Naming Convention</w:t>
      </w:r>
    </w:p>
    <w:p>
      <w:pPr>
        <w:spacing w:before="0" w:after="120"/>
        <w:jc w:val="both"/>
      </w:pPr>
      <w:r>
        <w:rPr>
          <w:rFonts w:ascii="Arial" w:hAnsi="Arial"/>
          <w:b w:val="0"/>
          <w:i w:val="0"/>
          <w:color w:val="000000"/>
          <w:sz w:val="21"/>
        </w:rPr>
        <w:t>Each edition is identified by Volume Number, Edition Number, and Publication Year. Example: Counter-Canon, Vol. I, Ed. 3, 2029. This naming convention allows precise citation in legal proceedings: a court brief can cite Counter-Canon Vol. I, Ed. 1, 2026, page 12, and every reader can locate the exact text being cited. Earlier editions are preserved permanently in the public archive.</w:t>
      </w:r>
    </w:p>
    <w:p>
      <w:pPr>
        <w:spacing w:before="80" w:after="80"/>
        <w:ind w:left="288"/>
        <w:jc w:val="both"/>
      </w:pPr>
      <w:r>
        <w:rPr>
          <w:rFonts w:ascii="Arial" w:hAnsi="Arial"/>
          <w:b/>
          <w:i w:val="0"/>
          <w:color w:val="7A5C00"/>
          <w:sz w:val="21"/>
        </w:rPr>
        <w:t xml:space="preserve">KEY POINT: </w:t>
      </w:r>
      <w:r>
        <w:rPr>
          <w:rFonts w:ascii="Arial" w:hAnsi="Arial"/>
          <w:b w:val="0"/>
          <w:i w:val="0"/>
          <w:color w:val="000000"/>
          <w:sz w:val="21"/>
        </w:rPr>
        <w:t>The edition model makes the Counter-Canon legally citable in a way that a website never can be. A webpage changes without record. A published edition is a fixed, timestamped document that exists permanently. The law respects permanence.</w:t>
      </w:r>
    </w:p>
    <w:p>
      <w:pPr>
        <w:spacing w:before="160" w:after="160"/>
        <w:jc w:val="center"/>
        <w:pBdr>
          <w:bottom w:val="single" w:sz="4" w:space="1" w:color="1a1a2e"/>
        </w:pBdr>
      </w:pPr>
    </w:p>
    <w:p>
      <w:pPr>
        <w:spacing w:before="320" w:after="80"/>
        <w:jc w:val="left"/>
        <w:pBdr>
          <w:bottom w:val="single" w:sz="4" w:space="1" w:color="1a1a2e"/>
        </w:pBdr>
      </w:pPr>
      <w:r>
        <w:rPr>
          <w:rFonts w:ascii="Arial" w:hAnsi="Arial"/>
          <w:b/>
          <w:i w:val="0"/>
          <w:color w:val="1A1A2E"/>
          <w:sz w:val="24"/>
        </w:rPr>
        <w:t>III. THE AMENDMENT RECORD: THE LEGAL SIGNIFICANCE OF TRACKING CHANGE</w:t>
      </w:r>
    </w:p>
    <w:p>
      <w:pPr>
        <w:spacing w:before="0" w:after="120"/>
        <w:jc w:val="both"/>
      </w:pPr>
      <w:r>
        <w:rPr>
          <w:rFonts w:ascii="Arial" w:hAnsi="Arial"/>
          <w:b w:val="0"/>
          <w:i w:val="0"/>
          <w:color w:val="000000"/>
          <w:sz w:val="21"/>
        </w:rPr>
        <w:t>The Amendment Record is one of the Counter-Canon's most powerful features. Every change to every Living Zone entry is documented in the Amendment Record with four elements:</w:t>
      </w:r>
    </w:p>
    <w:p>
      <w:pPr>
        <w:spacing w:before="80" w:after="60"/>
        <w:jc w:val="both"/>
      </w:pPr>
      <w:r>
        <w:rPr>
          <w:rFonts w:ascii="Arial" w:hAnsi="Arial"/>
          <w:b/>
          <w:i w:val="0"/>
          <w:color w:val="222244"/>
          <w:sz w:val="21"/>
        </w:rPr>
        <w:t xml:space="preserve">Date:  </w:t>
      </w:r>
      <w:r>
        <w:rPr>
          <w:rFonts w:ascii="Arial" w:hAnsi="Arial"/>
          <w:b w:val="0"/>
          <w:i w:val="0"/>
          <w:color w:val="000000"/>
          <w:sz w:val="21"/>
        </w:rPr>
        <w:t>The date the amendment was made.</w:t>
      </w:r>
    </w:p>
    <w:p>
      <w:pPr>
        <w:spacing w:before="80" w:after="60"/>
        <w:jc w:val="both"/>
      </w:pPr>
      <w:r>
        <w:rPr>
          <w:rFonts w:ascii="Arial" w:hAnsi="Arial"/>
          <w:b/>
          <w:i w:val="0"/>
          <w:color w:val="222244"/>
          <w:sz w:val="21"/>
        </w:rPr>
        <w:t xml:space="preserve">Triggering Authority:  </w:t>
      </w:r>
      <w:r>
        <w:rPr>
          <w:rFonts w:ascii="Arial" w:hAnsi="Arial"/>
          <w:b w:val="0"/>
          <w:i w:val="0"/>
          <w:color w:val="000000"/>
          <w:sz w:val="21"/>
        </w:rPr>
        <w:t>The specific case, statute, or instrument that necessitated the change. Cited in full.</w:t>
      </w:r>
    </w:p>
    <w:p>
      <w:pPr>
        <w:spacing w:before="80" w:after="60"/>
        <w:jc w:val="both"/>
      </w:pPr>
      <w:r>
        <w:rPr>
          <w:rFonts w:ascii="Arial" w:hAnsi="Arial"/>
          <w:b/>
          <w:i w:val="0"/>
          <w:color w:val="222244"/>
          <w:sz w:val="21"/>
        </w:rPr>
        <w:t xml:space="preserve">Nature of Change:  </w:t>
      </w:r>
      <w:r>
        <w:rPr>
          <w:rFonts w:ascii="Arial" w:hAnsi="Arial"/>
          <w:b w:val="0"/>
          <w:i w:val="0"/>
          <w:color w:val="000000"/>
          <w:sz w:val="21"/>
        </w:rPr>
        <w:t>What changed: a new citation added, a counter-definition expanded, an authority superseded, a practical application updated.</w:t>
      </w:r>
    </w:p>
    <w:p>
      <w:pPr>
        <w:spacing w:before="80" w:after="60"/>
        <w:jc w:val="both"/>
      </w:pPr>
      <w:r>
        <w:rPr>
          <w:rFonts w:ascii="Arial" w:hAnsi="Arial"/>
          <w:b/>
          <w:i w:val="0"/>
          <w:color w:val="222244"/>
          <w:sz w:val="21"/>
        </w:rPr>
        <w:t xml:space="preserve">Editorial Note:  </w:t>
      </w:r>
      <w:r>
        <w:rPr>
          <w:rFonts w:ascii="Arial" w:hAnsi="Arial"/>
          <w:b w:val="0"/>
          <w:i w:val="0"/>
          <w:color w:val="000000"/>
          <w:sz w:val="21"/>
        </w:rPr>
        <w:t>A brief explanation of why the change matters for the entry's argument.</w:t>
      </w:r>
    </w:p>
    <w:p>
      <w:pPr>
        <w:spacing w:before="200" w:after="60"/>
        <w:jc w:val="left"/>
      </w:pPr>
      <w:r>
        <w:rPr>
          <w:rFonts w:ascii="Arial" w:hAnsi="Arial"/>
          <w:b/>
          <w:i w:val="0"/>
          <w:color w:val="222244"/>
          <w:sz w:val="22"/>
        </w:rPr>
        <w:t>Why the Amendment Record Is a Legal Argument</w:t>
      </w:r>
    </w:p>
    <w:p>
      <w:pPr>
        <w:spacing w:before="0" w:after="120"/>
        <w:jc w:val="both"/>
      </w:pPr>
      <w:r>
        <w:rPr>
          <w:rFonts w:ascii="Arial" w:hAnsi="Arial"/>
          <w:b w:val="0"/>
          <w:i w:val="0"/>
          <w:color w:val="000000"/>
          <w:sz w:val="21"/>
        </w:rPr>
        <w:t>The Amendment Record does more than document change. It makes an argument. When the Amendment Record shows that the Counter-Canon's counter-definition of Person was strengthened by three new Supreme Court decisions over five years, that trend is itself evidence that the law is moving in the direction the Counter-Canon identified. When the Amendment Record shows that a dominant definition has been narrowed by Congress, that narrowing supports the argument that the embedded assumption was always contestable.</w:t>
      </w:r>
    </w:p>
    <w:p>
      <w:pPr>
        <w:spacing w:before="0" w:after="120"/>
        <w:jc w:val="both"/>
      </w:pPr>
      <w:r>
        <w:rPr>
          <w:rFonts w:ascii="Arial" w:hAnsi="Arial"/>
          <w:b w:val="0"/>
          <w:i w:val="0"/>
          <w:color w:val="000000"/>
          <w:sz w:val="21"/>
        </w:rPr>
        <w:t>The Amendment Record turns the Counter-Canon into a longitudinal legal argument — not just a snapshot of what the law says today, but a documented record of where the law has been, where it is, and where the pressure of truth is pushing it.</w:t>
      </w:r>
    </w:p>
    <w:p>
      <w:pPr>
        <w:spacing w:before="200" w:after="60"/>
        <w:jc w:val="left"/>
      </w:pPr>
      <w:r>
        <w:rPr>
          <w:rFonts w:ascii="Arial" w:hAnsi="Arial"/>
          <w:b/>
          <w:i w:val="0"/>
          <w:color w:val="222244"/>
          <w:sz w:val="22"/>
        </w:rPr>
        <w:t>Sample Amendment Record Entry Format</w:t>
      </w:r>
    </w:p>
    <w:p>
      <w:pPr>
        <w:spacing w:before="80" w:after="80"/>
        <w:ind w:left="432" w:right="432"/>
        <w:jc w:val="left"/>
      </w:pPr>
      <w:r>
        <w:rPr>
          <w:rFonts w:ascii="Courier New" w:hAnsi="Courier New"/>
          <w:color w:val="1A4A1A"/>
          <w:sz w:val="19"/>
        </w:rPr>
        <w:t>AMENDMENT RECORD — VOLUME ONE</w:t>
      </w:r>
    </w:p>
    <w:p>
      <w:pPr>
        <w:spacing w:before="80" w:after="80"/>
        <w:ind w:left="432" w:right="432"/>
        <w:jc w:val="left"/>
      </w:pPr>
      <w:r>
        <w:rPr>
          <w:rFonts w:ascii="Courier New" w:hAnsi="Courier New"/>
          <w:color w:val="1A4A1A"/>
          <w:sz w:val="19"/>
        </w:rPr>
        <w:t>Word: PERSON</w:t>
      </w:r>
    </w:p>
    <w:p>
      <w:pPr>
        <w:spacing w:before="80" w:after="80"/>
        <w:ind w:left="432" w:right="432"/>
        <w:jc w:val="left"/>
      </w:pPr>
      <w:r>
        <w:rPr>
          <w:rFonts w:ascii="Courier New" w:hAnsi="Courier New"/>
          <w:color w:val="1A4A1A"/>
          <w:sz w:val="19"/>
        </w:rPr>
        <w:t>Edition: 2 | Date: [DATE OF UPDATE]</w:t>
      </w:r>
    </w:p>
    <w:p>
      <w:pPr>
        <w:spacing w:before="80" w:after="80"/>
        <w:ind w:left="432" w:right="432"/>
        <w:jc w:val="left"/>
      </w:pPr>
      <w:r>
        <w:rPr>
          <w:rFonts w:ascii="Courier New" w:hAnsi="Courier New"/>
          <w:color w:val="1A4A1A"/>
          <w:sz w:val="19"/>
        </w:rPr>
        <w:t>Triggering Authority: [Case Name], [Citation] ([Year])</w:t>
      </w:r>
    </w:p>
    <w:p>
      <w:pPr>
        <w:spacing w:before="80" w:after="80"/>
        <w:ind w:left="432" w:right="432"/>
        <w:jc w:val="left"/>
      </w:pPr>
      <w:r>
        <w:rPr>
          <w:rFonts w:ascii="Courier New" w:hAnsi="Courier New"/>
          <w:color w:val="1A4A1A"/>
          <w:sz w:val="19"/>
        </w:rPr>
        <w:t>Nature of Change: Counter-Definition expanded. New authority</w:t>
      </w:r>
    </w:p>
    <w:p>
      <w:pPr>
        <w:spacing w:before="80" w:after="80"/>
        <w:ind w:left="432" w:right="432"/>
        <w:jc w:val="left"/>
      </w:pPr>
      <w:r>
        <w:rPr>
          <w:rFonts w:ascii="Courier New" w:hAnsi="Courier New"/>
          <w:color w:val="1A4A1A"/>
          <w:sz w:val="19"/>
        </w:rPr>
        <w:t xml:space="preserve">  added to Authority section. Practical Application updated</w:t>
      </w:r>
    </w:p>
    <w:p>
      <w:pPr>
        <w:spacing w:before="80" w:after="80"/>
        <w:ind w:left="432" w:right="432"/>
        <w:jc w:val="left"/>
      </w:pPr>
      <w:r>
        <w:rPr>
          <w:rFonts w:ascii="Courier New" w:hAnsi="Courier New"/>
          <w:color w:val="1A4A1A"/>
          <w:sz w:val="19"/>
        </w:rPr>
        <w:t xml:space="preserve">  to reflect new procedural context created by decision.</w:t>
      </w:r>
    </w:p>
    <w:p>
      <w:pPr>
        <w:spacing w:before="80" w:after="80"/>
        <w:ind w:left="432" w:right="432"/>
        <w:jc w:val="left"/>
      </w:pPr>
      <w:r>
        <w:rPr>
          <w:rFonts w:ascii="Courier New" w:hAnsi="Courier New"/>
          <w:color w:val="1A4A1A"/>
          <w:sz w:val="19"/>
        </w:rPr>
        <w:t>Editorial Note: The Court's holding in [Case] strengthens</w:t>
      </w:r>
    </w:p>
    <w:p>
      <w:pPr>
        <w:spacing w:before="80" w:after="80"/>
        <w:ind w:left="432" w:right="432"/>
        <w:jc w:val="left"/>
      </w:pPr>
      <w:r>
        <w:rPr>
          <w:rFonts w:ascii="Courier New" w:hAnsi="Courier New"/>
          <w:color w:val="1A4A1A"/>
          <w:sz w:val="19"/>
        </w:rPr>
        <w:t xml:space="preserve">  the Counter-Canon's position that natural personhood</w:t>
      </w:r>
    </w:p>
    <w:p>
      <w:pPr>
        <w:spacing w:before="80" w:after="80"/>
        <w:ind w:left="432" w:right="432"/>
        <w:jc w:val="left"/>
      </w:pPr>
      <w:r>
        <w:rPr>
          <w:rFonts w:ascii="Courier New" w:hAnsi="Courier New"/>
          <w:color w:val="1A4A1A"/>
          <w:sz w:val="19"/>
        </w:rPr>
        <w:t xml:space="preserve">  precedes and is not derived from legal personhood.</w:t>
      </w:r>
    </w:p>
    <w:p>
      <w:pPr>
        <w:spacing w:before="80" w:after="80"/>
        <w:ind w:left="432" w:right="432"/>
        <w:jc w:val="left"/>
      </w:pPr>
      <w:r>
        <w:rPr>
          <w:rFonts w:ascii="Courier New" w:hAnsi="Courier New"/>
          <w:color w:val="1A4A1A"/>
          <w:sz w:val="19"/>
        </w:rPr>
        <w:t xml:space="preserve">  Eternal Zone: unchanged.</w:t>
      </w:r>
    </w:p>
    <w:p>
      <w:pPr>
        <w:spacing w:before="160" w:after="160"/>
        <w:jc w:val="center"/>
        <w:pBdr>
          <w:bottom w:val="single" w:sz="4" w:space="1" w:color="1a1a2e"/>
        </w:pBdr>
      </w:pPr>
    </w:p>
    <w:p>
      <w:pPr>
        <w:spacing w:before="320" w:after="80"/>
        <w:jc w:val="left"/>
        <w:pBdr>
          <w:bottom w:val="single" w:sz="4" w:space="1" w:color="1a1a2e"/>
        </w:pBdr>
      </w:pPr>
      <w:r>
        <w:rPr>
          <w:rFonts w:ascii="Arial" w:hAnsi="Arial"/>
          <w:b/>
          <w:i w:val="0"/>
          <w:color w:val="1A1A2E"/>
          <w:sz w:val="24"/>
        </w:rPr>
        <w:t>IV. THE CLAUDE API UPDATE ENGINE: HOW IT WORKS</w:t>
      </w:r>
    </w:p>
    <w:p>
      <w:pPr>
        <w:spacing w:before="0" w:after="120"/>
        <w:jc w:val="both"/>
      </w:pPr>
      <w:r>
        <w:rPr>
          <w:rFonts w:ascii="Arial" w:hAnsi="Arial"/>
          <w:b w:val="0"/>
          <w:i w:val="0"/>
          <w:color w:val="000000"/>
          <w:sz w:val="21"/>
        </w:rPr>
        <w:t>The update engine is powered by the Anthropic Claude API. It operates in three stages: monitoring, analysis, and flagging. It does not make editorial decisions. It identifies what needs human review and prepares the analysis for that review.</w:t>
      </w:r>
    </w:p>
    <w:p>
      <w:pPr>
        <w:spacing w:before="200" w:after="60"/>
        <w:jc w:val="left"/>
      </w:pPr>
      <w:r>
        <w:rPr>
          <w:rFonts w:ascii="Arial" w:hAnsi="Arial"/>
          <w:b/>
          <w:i w:val="0"/>
          <w:color w:val="222244"/>
          <w:sz w:val="22"/>
        </w:rPr>
        <w:t>Stage One: Monitoring</w:t>
      </w:r>
    </w:p>
    <w:p>
      <w:pPr>
        <w:spacing w:before="0" w:after="120"/>
        <w:jc w:val="both"/>
      </w:pPr>
      <w:r>
        <w:rPr>
          <w:rFonts w:ascii="Arial" w:hAnsi="Arial"/>
          <w:b w:val="0"/>
          <w:i w:val="0"/>
          <w:color w:val="000000"/>
          <w:sz w:val="21"/>
        </w:rPr>
        <w:t>The monitoring layer tracks new legal developments across four source categories:</w:t>
      </w:r>
    </w:p>
    <w:p>
      <w:pPr>
        <w:spacing w:before="100" w:after="60"/>
        <w:jc w:val="both"/>
      </w:pPr>
      <w:r>
        <w:rPr>
          <w:rFonts w:ascii="Arial" w:hAnsi="Arial"/>
          <w:b/>
          <w:i w:val="0"/>
          <w:color w:val="222244"/>
          <w:sz w:val="21"/>
        </w:rPr>
        <w:t xml:space="preserve">Supreme Court Decisions:  </w:t>
      </w:r>
      <w:r>
        <w:rPr>
          <w:rFonts w:ascii="Arial" w:hAnsi="Arial"/>
          <w:b w:val="0"/>
          <w:i w:val="0"/>
          <w:color w:val="000000"/>
          <w:sz w:val="21"/>
        </w:rPr>
        <w:t>Every opinion issued by the U.S. Supreme Court is processed. The engine identifies which Counter-Canon headwords appear in the opinion or are addressed by its holding.</w:t>
      </w:r>
    </w:p>
    <w:p>
      <w:pPr>
        <w:spacing w:before="100" w:after="60"/>
        <w:jc w:val="both"/>
      </w:pPr>
      <w:r>
        <w:rPr>
          <w:rFonts w:ascii="Arial" w:hAnsi="Arial"/>
          <w:b/>
          <w:i w:val="0"/>
          <w:color w:val="222244"/>
          <w:sz w:val="21"/>
        </w:rPr>
        <w:t xml:space="preserve">Federal Circuit Court Decisions:  </w:t>
      </w:r>
      <w:r>
        <w:rPr>
          <w:rFonts w:ascii="Arial" w:hAnsi="Arial"/>
          <w:b w:val="0"/>
          <w:i w:val="0"/>
          <w:color w:val="000000"/>
          <w:sz w:val="21"/>
        </w:rPr>
        <w:t>Published opinions from all thirteen federal circuit courts are monitored for decisions that significantly interpret headwords or affect the counter-definitions' authority citations.</w:t>
      </w:r>
    </w:p>
    <w:p>
      <w:pPr>
        <w:spacing w:before="100" w:after="60"/>
        <w:jc w:val="both"/>
      </w:pPr>
      <w:r>
        <w:rPr>
          <w:rFonts w:ascii="Arial" w:hAnsi="Arial"/>
          <w:b/>
          <w:i w:val="0"/>
          <w:color w:val="222244"/>
          <w:sz w:val="21"/>
        </w:rPr>
        <w:t xml:space="preserve">Major Federal Legislation:  </w:t>
      </w:r>
      <w:r>
        <w:rPr>
          <w:rFonts w:ascii="Arial" w:hAnsi="Arial"/>
          <w:b w:val="0"/>
          <w:i w:val="0"/>
          <w:color w:val="000000"/>
          <w:sz w:val="21"/>
        </w:rPr>
        <w:t>New federal statutes that define, redefine, or materially affect headwords trigger an entry review.</w:t>
      </w:r>
    </w:p>
    <w:p>
      <w:pPr>
        <w:spacing w:before="100" w:after="60"/>
        <w:jc w:val="both"/>
      </w:pPr>
      <w:r>
        <w:rPr>
          <w:rFonts w:ascii="Arial" w:hAnsi="Arial"/>
          <w:b/>
          <w:i w:val="0"/>
          <w:color w:val="222244"/>
          <w:sz w:val="21"/>
        </w:rPr>
        <w:t xml:space="preserve">International Instruments:  </w:t>
      </w:r>
      <w:r>
        <w:rPr>
          <w:rFonts w:ascii="Arial" w:hAnsi="Arial"/>
          <w:b w:val="0"/>
          <w:i w:val="0"/>
          <w:color w:val="000000"/>
          <w:sz w:val="21"/>
        </w:rPr>
        <w:t>New UN declarations, ICCPR committee findings, IACHR decisions, and ILO conventions that affect headwords are monitored through public international law databases.</w:t>
      </w:r>
    </w:p>
    <w:p>
      <w:pPr>
        <w:spacing w:before="200" w:after="60"/>
        <w:jc w:val="left"/>
      </w:pPr>
      <w:r>
        <w:rPr>
          <w:rFonts w:ascii="Arial" w:hAnsi="Arial"/>
          <w:b/>
          <w:i w:val="0"/>
          <w:color w:val="222244"/>
          <w:sz w:val="22"/>
        </w:rPr>
        <w:t>Stage Two: Analysis</w:t>
      </w:r>
    </w:p>
    <w:p>
      <w:pPr>
        <w:spacing w:before="0" w:after="120"/>
        <w:jc w:val="both"/>
      </w:pPr>
      <w:r>
        <w:rPr>
          <w:rFonts w:ascii="Arial" w:hAnsi="Arial"/>
          <w:b w:val="0"/>
          <w:i w:val="0"/>
          <w:color w:val="000000"/>
          <w:sz w:val="21"/>
        </w:rPr>
        <w:t>When a new legal development is identified as potentially relevant to a headword, the Claude API performs the following analysis:</w:t>
      </w:r>
    </w:p>
    <w:p>
      <w:pPr>
        <w:pStyle w:val="ListBullet"/>
        <w:spacing w:after="60"/>
        <w:ind w:left="576"/>
      </w:pPr>
      <w:r>
        <w:rPr>
          <w:rFonts w:ascii="Arial" w:hAnsi="Arial"/>
          <w:sz w:val="21"/>
        </w:rPr>
        <w:t>Read the full text of the new decision, statute, or instrument.</w:t>
      </w:r>
    </w:p>
    <w:p>
      <w:pPr>
        <w:pStyle w:val="ListBullet"/>
        <w:spacing w:after="60"/>
        <w:ind w:left="576"/>
      </w:pPr>
      <w:r>
        <w:rPr>
          <w:rFonts w:ascii="Arial" w:hAnsi="Arial"/>
          <w:sz w:val="21"/>
        </w:rPr>
        <w:t>Identify every passage that bears on the headword's meaning, scope, or application.</w:t>
      </w:r>
    </w:p>
    <w:p>
      <w:pPr>
        <w:pStyle w:val="ListBullet"/>
        <w:spacing w:after="60"/>
        <w:ind w:left="576"/>
      </w:pPr>
      <w:r>
        <w:rPr>
          <w:rFonts w:ascii="Arial" w:hAnsi="Arial"/>
          <w:sz w:val="21"/>
        </w:rPr>
        <w:t>Evaluate whether the development strengthens, weakens, expands, or narrows the Counter-Canon's counter-definition.</w:t>
      </w:r>
    </w:p>
    <w:p>
      <w:pPr>
        <w:pStyle w:val="ListBullet"/>
        <w:spacing w:after="60"/>
        <w:ind w:left="576"/>
      </w:pPr>
      <w:r>
        <w:rPr>
          <w:rFonts w:ascii="Arial" w:hAnsi="Arial"/>
          <w:sz w:val="21"/>
        </w:rPr>
        <w:t>Identify whether any existing authority citation has been superseded, overruled, or limited by the new development.</w:t>
      </w:r>
    </w:p>
    <w:p>
      <w:pPr>
        <w:pStyle w:val="ListBullet"/>
        <w:spacing w:after="60"/>
        <w:ind w:left="576"/>
      </w:pPr>
      <w:r>
        <w:rPr>
          <w:rFonts w:ascii="Arial" w:hAnsi="Arial"/>
          <w:sz w:val="21"/>
        </w:rPr>
        <w:t>Draft a proposed amendment to the Living Zone reflecting the analysis.</w:t>
      </w:r>
    </w:p>
    <w:p>
      <w:pPr>
        <w:pStyle w:val="ListBullet"/>
        <w:spacing w:after="60"/>
        <w:ind w:left="576"/>
      </w:pPr>
      <w:r>
        <w:rPr>
          <w:rFonts w:ascii="Arial" w:hAnsi="Arial"/>
          <w:sz w:val="21"/>
        </w:rPr>
        <w:t>Draft the Amendment Record entry for the proposed change.</w:t>
      </w:r>
    </w:p>
    <w:p>
      <w:pPr>
        <w:pStyle w:val="ListBullet"/>
        <w:spacing w:after="60"/>
        <w:ind w:left="576"/>
      </w:pPr>
      <w:r>
        <w:rPr>
          <w:rFonts w:ascii="Arial" w:hAnsi="Arial"/>
          <w:sz w:val="21"/>
        </w:rPr>
        <w:t>Flag the entry for editorial review with a priority level: Urgent (overruling authority), Standard (significant development), or Informational (relevant but not requiring update).</w:t>
      </w:r>
    </w:p>
    <w:p>
      <w:pPr>
        <w:spacing w:before="200" w:after="60"/>
        <w:jc w:val="left"/>
      </w:pPr>
      <w:r>
        <w:rPr>
          <w:rFonts w:ascii="Arial" w:hAnsi="Arial"/>
          <w:b/>
          <w:i w:val="0"/>
          <w:color w:val="222244"/>
          <w:sz w:val="22"/>
        </w:rPr>
        <w:t>Stage Three: Flagging</w:t>
      </w:r>
    </w:p>
    <w:p>
      <w:pPr>
        <w:spacing w:before="0" w:after="120"/>
        <w:jc w:val="both"/>
      </w:pPr>
      <w:r>
        <w:rPr>
          <w:rFonts w:ascii="Arial" w:hAnsi="Arial"/>
          <w:b w:val="0"/>
          <w:i w:val="0"/>
          <w:color w:val="000000"/>
          <w:sz w:val="21"/>
        </w:rPr>
        <w:t>Every flagged entry is delivered to the editorial review queue with: the full analysis, the proposed amendment, the draft Amendment Record entry, and the source documents. The editor — Rickey Allan Howard — reviews every flagged item before any change is published. The AI analyzes. The author decides.</w:t>
      </w:r>
    </w:p>
    <w:p>
      <w:pPr>
        <w:spacing w:before="200" w:after="60"/>
        <w:jc w:val="left"/>
      </w:pPr>
      <w:r>
        <w:rPr>
          <w:rFonts w:ascii="Arial" w:hAnsi="Arial"/>
          <w:b/>
          <w:i w:val="0"/>
          <w:color w:val="222244"/>
          <w:sz w:val="22"/>
        </w:rPr>
        <w:t>The Claude API Prompt Architecture</w:t>
      </w:r>
    </w:p>
    <w:p>
      <w:pPr>
        <w:spacing w:before="0" w:after="120"/>
        <w:jc w:val="both"/>
      </w:pPr>
      <w:r>
        <w:rPr>
          <w:rFonts w:ascii="Arial" w:hAnsi="Arial"/>
          <w:b w:val="0"/>
          <w:i w:val="0"/>
          <w:color w:val="000000"/>
          <w:sz w:val="21"/>
        </w:rPr>
        <w:t>The update engine uses a structured prompt that encodes the Counter-Canon's methodology directly. The core prompt instructs Claude to analyze new legal developments against existing entries using the following framework:</w:t>
      </w:r>
    </w:p>
    <w:p>
      <w:pPr>
        <w:spacing w:before="80" w:after="80"/>
        <w:ind w:left="432" w:right="432"/>
        <w:jc w:val="left"/>
      </w:pPr>
      <w:r>
        <w:rPr>
          <w:rFonts w:ascii="Courier New" w:hAnsi="Courier New"/>
          <w:color w:val="1A4A1A"/>
          <w:sz w:val="19"/>
        </w:rPr>
        <w:t>COUNTER-CANON UPDATE ANALYSIS PROMPT (CORE STRUCTURE):</w:t>
      </w:r>
    </w:p>
    <w:p>
      <w:pPr>
        <w:spacing w:before="80" w:after="80"/>
        <w:ind w:left="432" w:right="432"/>
        <w:jc w:val="left"/>
      </w:pPr>
      <w:r>
        <w:rPr>
          <w:rFonts w:ascii="Courier New" w:hAnsi="Courier New"/>
          <w:color w:val="1A4A1A"/>
          <w:sz w:val="19"/>
        </w:rPr>
      </w:r>
    </w:p>
    <w:p>
      <w:pPr>
        <w:spacing w:before="80" w:after="80"/>
        <w:ind w:left="432" w:right="432"/>
        <w:jc w:val="left"/>
      </w:pPr>
      <w:r>
        <w:rPr>
          <w:rFonts w:ascii="Courier New" w:hAnsi="Courier New"/>
          <w:color w:val="1A4A1A"/>
          <w:sz w:val="19"/>
        </w:rPr>
        <w:t>You are the update engine for the Counter-Canon: A Dictionary</w:t>
      </w:r>
    </w:p>
    <w:p>
      <w:pPr>
        <w:spacing w:before="80" w:after="80"/>
        <w:ind w:left="432" w:right="432"/>
        <w:jc w:val="left"/>
      </w:pPr>
      <w:r>
        <w:rPr>
          <w:rFonts w:ascii="Courier New" w:hAnsi="Courier New"/>
          <w:color w:val="1A4A1A"/>
          <w:sz w:val="19"/>
        </w:rPr>
        <w:t>of Living Law. Your role is to analyze new legal developments</w:t>
      </w:r>
    </w:p>
    <w:p>
      <w:pPr>
        <w:spacing w:before="80" w:after="80"/>
        <w:ind w:left="432" w:right="432"/>
        <w:jc w:val="left"/>
      </w:pPr>
      <w:r>
        <w:rPr>
          <w:rFonts w:ascii="Courier New" w:hAnsi="Courier New"/>
          <w:color w:val="1A4A1A"/>
          <w:sz w:val="19"/>
        </w:rPr>
        <w:t>against existing entries and prepare proposed amendments.</w:t>
      </w:r>
    </w:p>
    <w:p>
      <w:pPr>
        <w:spacing w:before="80" w:after="80"/>
        <w:ind w:left="432" w:right="432"/>
        <w:jc w:val="left"/>
      </w:pPr>
      <w:r>
        <w:rPr>
          <w:rFonts w:ascii="Courier New" w:hAnsi="Courier New"/>
          <w:color w:val="1A4A1A"/>
          <w:sz w:val="19"/>
        </w:rPr>
      </w:r>
    </w:p>
    <w:p>
      <w:pPr>
        <w:spacing w:before="80" w:after="80"/>
        <w:ind w:left="432" w:right="432"/>
        <w:jc w:val="left"/>
      </w:pPr>
      <w:r>
        <w:rPr>
          <w:rFonts w:ascii="Courier New" w:hAnsi="Courier New"/>
          <w:color w:val="1A4A1A"/>
          <w:sz w:val="19"/>
        </w:rPr>
        <w:t>For each new development you are given:</w:t>
      </w:r>
    </w:p>
    <w:p>
      <w:pPr>
        <w:spacing w:before="80" w:after="80"/>
        <w:ind w:left="432" w:right="432"/>
        <w:jc w:val="left"/>
      </w:pPr>
      <w:r>
        <w:rPr>
          <w:rFonts w:ascii="Courier New" w:hAnsi="Courier New"/>
          <w:color w:val="1A4A1A"/>
          <w:sz w:val="19"/>
        </w:rPr>
        <w:t xml:space="preserve">  1. Read the full text carefully.</w:t>
      </w:r>
    </w:p>
    <w:p>
      <w:pPr>
        <w:spacing w:before="80" w:after="80"/>
        <w:ind w:left="432" w:right="432"/>
        <w:jc w:val="left"/>
      </w:pPr>
      <w:r>
        <w:rPr>
          <w:rFonts w:ascii="Courier New" w:hAnsi="Courier New"/>
          <w:color w:val="1A4A1A"/>
          <w:sz w:val="19"/>
        </w:rPr>
        <w:t xml:space="preserve">  2. Identify every passage bearing on any Counter-Canon headword.</w:t>
      </w:r>
    </w:p>
    <w:p>
      <w:pPr>
        <w:spacing w:before="80" w:after="80"/>
        <w:ind w:left="432" w:right="432"/>
        <w:jc w:val="left"/>
      </w:pPr>
      <w:r>
        <w:rPr>
          <w:rFonts w:ascii="Courier New" w:hAnsi="Courier New"/>
          <w:color w:val="1A4A1A"/>
          <w:sz w:val="19"/>
        </w:rPr>
        <w:t xml:space="preserve">  3. For each relevant headword, evaluate:</w:t>
      </w:r>
    </w:p>
    <w:p>
      <w:pPr>
        <w:spacing w:before="80" w:after="80"/>
        <w:ind w:left="432" w:right="432"/>
        <w:jc w:val="left"/>
      </w:pPr>
      <w:r>
        <w:rPr>
          <w:rFonts w:ascii="Courier New" w:hAnsi="Courier New"/>
          <w:color w:val="1A4A1A"/>
          <w:sz w:val="19"/>
        </w:rPr>
        <w:t xml:space="preserve">     a. Does this development strengthen the counter-definition?</w:t>
      </w:r>
    </w:p>
    <w:p>
      <w:pPr>
        <w:spacing w:before="80" w:after="80"/>
        <w:ind w:left="432" w:right="432"/>
        <w:jc w:val="left"/>
      </w:pPr>
      <w:r>
        <w:rPr>
          <w:rFonts w:ascii="Courier New" w:hAnsi="Courier New"/>
          <w:color w:val="1A4A1A"/>
          <w:sz w:val="19"/>
        </w:rPr>
        <w:t xml:space="preserve">     b. Does it weaken or limit it?</w:t>
      </w:r>
    </w:p>
    <w:p>
      <w:pPr>
        <w:spacing w:before="80" w:after="80"/>
        <w:ind w:left="432" w:right="432"/>
        <w:jc w:val="left"/>
      </w:pPr>
      <w:r>
        <w:rPr>
          <w:rFonts w:ascii="Courier New" w:hAnsi="Courier New"/>
          <w:color w:val="1A4A1A"/>
          <w:sz w:val="19"/>
        </w:rPr>
        <w:t xml:space="preserve">     c. Does it supersede any existing authority citation?</w:t>
      </w:r>
    </w:p>
    <w:p>
      <w:pPr>
        <w:spacing w:before="80" w:after="80"/>
        <w:ind w:left="432" w:right="432"/>
        <w:jc w:val="left"/>
      </w:pPr>
      <w:r>
        <w:rPr>
          <w:rFonts w:ascii="Courier New" w:hAnsi="Courier New"/>
          <w:color w:val="1A4A1A"/>
          <w:sz w:val="19"/>
        </w:rPr>
        <w:t xml:space="preserve">     d. Does it require updating the Practical Application?</w:t>
      </w:r>
    </w:p>
    <w:p>
      <w:pPr>
        <w:spacing w:before="80" w:after="80"/>
        <w:ind w:left="432" w:right="432"/>
        <w:jc w:val="left"/>
      </w:pPr>
      <w:r>
        <w:rPr>
          <w:rFonts w:ascii="Courier New" w:hAnsi="Courier New"/>
          <w:color w:val="1A4A1A"/>
          <w:sz w:val="19"/>
        </w:rPr>
        <w:t xml:space="preserve">  4. Apply the Two Zone Rule:</w:t>
      </w:r>
    </w:p>
    <w:p>
      <w:pPr>
        <w:spacing w:before="80" w:after="80"/>
        <w:ind w:left="432" w:right="432"/>
        <w:jc w:val="left"/>
      </w:pPr>
      <w:r>
        <w:rPr>
          <w:rFonts w:ascii="Courier New" w:hAnsi="Courier New"/>
          <w:color w:val="1A4A1A"/>
          <w:sz w:val="19"/>
        </w:rPr>
        <w:t xml:space="preserve">     - The Eternal Zone (Embedded Assumption, The Truth) is</w:t>
      </w:r>
    </w:p>
    <w:p>
      <w:pPr>
        <w:spacing w:before="80" w:after="80"/>
        <w:ind w:left="432" w:right="432"/>
        <w:jc w:val="left"/>
      </w:pPr>
      <w:r>
        <w:rPr>
          <w:rFonts w:ascii="Courier New" w:hAnsi="Courier New"/>
          <w:color w:val="1A4A1A"/>
          <w:sz w:val="19"/>
        </w:rPr>
        <w:t xml:space="preserve">       NEVER updated. Never propose changes to these zones.</w:t>
      </w:r>
    </w:p>
    <w:p>
      <w:pPr>
        <w:spacing w:before="80" w:after="80"/>
        <w:ind w:left="432" w:right="432"/>
        <w:jc w:val="left"/>
      </w:pPr>
      <w:r>
        <w:rPr>
          <w:rFonts w:ascii="Courier New" w:hAnsi="Courier New"/>
          <w:color w:val="1A4A1A"/>
          <w:sz w:val="19"/>
        </w:rPr>
        <w:t xml:space="preserve">     - Only the Living Zone may be amended.</w:t>
      </w:r>
    </w:p>
    <w:p>
      <w:pPr>
        <w:spacing w:before="80" w:after="80"/>
        <w:ind w:left="432" w:right="432"/>
        <w:jc w:val="left"/>
      </w:pPr>
      <w:r>
        <w:rPr>
          <w:rFonts w:ascii="Courier New" w:hAnsi="Courier New"/>
          <w:color w:val="1A4A1A"/>
          <w:sz w:val="19"/>
        </w:rPr>
        <w:t xml:space="preserve">  5. Draft a proposed amendment stating exactly what changes</w:t>
      </w:r>
    </w:p>
    <w:p>
      <w:pPr>
        <w:spacing w:before="80" w:after="80"/>
        <w:ind w:left="432" w:right="432"/>
        <w:jc w:val="left"/>
      </w:pPr>
      <w:r>
        <w:rPr>
          <w:rFonts w:ascii="Courier New" w:hAnsi="Courier New"/>
          <w:color w:val="1A4A1A"/>
          <w:sz w:val="19"/>
        </w:rPr>
        <w:t xml:space="preserve">     and exactly why, with full citations.</w:t>
      </w:r>
    </w:p>
    <w:p>
      <w:pPr>
        <w:spacing w:before="80" w:after="80"/>
        <w:ind w:left="432" w:right="432"/>
        <w:jc w:val="left"/>
      </w:pPr>
      <w:r>
        <w:rPr>
          <w:rFonts w:ascii="Courier New" w:hAnsi="Courier New"/>
          <w:color w:val="1A4A1A"/>
          <w:sz w:val="19"/>
        </w:rPr>
        <w:t xml:space="preserve">  6. Draft the Amendment Record entry.</w:t>
      </w:r>
    </w:p>
    <w:p>
      <w:pPr>
        <w:spacing w:before="80" w:after="80"/>
        <w:ind w:left="432" w:right="432"/>
        <w:jc w:val="left"/>
      </w:pPr>
      <w:r>
        <w:rPr>
          <w:rFonts w:ascii="Courier New" w:hAnsi="Courier New"/>
          <w:color w:val="1A4A1A"/>
          <w:sz w:val="19"/>
        </w:rPr>
        <w:t xml:space="preserve">  7. Assign priority: URGENT / STANDARD / INFORMATIONAL.</w:t>
      </w:r>
    </w:p>
    <w:p>
      <w:pPr>
        <w:spacing w:before="80" w:after="80"/>
        <w:ind w:left="432" w:right="432"/>
        <w:jc w:val="left"/>
      </w:pPr>
      <w:r>
        <w:rPr>
          <w:rFonts w:ascii="Courier New" w:hAnsi="Courier New"/>
          <w:color w:val="1A4A1A"/>
          <w:sz w:val="19"/>
        </w:rPr>
      </w:r>
    </w:p>
    <w:p>
      <w:pPr>
        <w:spacing w:before="80" w:after="80"/>
        <w:ind w:left="432" w:right="432"/>
        <w:jc w:val="left"/>
      </w:pPr>
      <w:r>
        <w:rPr>
          <w:rFonts w:ascii="Courier New" w:hAnsi="Courier New"/>
          <w:color w:val="1A4A1A"/>
          <w:sz w:val="19"/>
        </w:rPr>
        <w:t>The Counter-Canon's foundational principle: the law's own</w:t>
      </w:r>
    </w:p>
    <w:p>
      <w:pPr>
        <w:spacing w:before="80" w:after="80"/>
        <w:ind w:left="432" w:right="432"/>
        <w:jc w:val="left"/>
      </w:pPr>
      <w:r>
        <w:rPr>
          <w:rFonts w:ascii="Courier New" w:hAnsi="Courier New"/>
          <w:color w:val="1A4A1A"/>
          <w:sz w:val="19"/>
        </w:rPr>
        <w:t>language contains the truth the dominant definitions suppress.</w:t>
      </w:r>
    </w:p>
    <w:p>
      <w:pPr>
        <w:spacing w:before="80" w:after="80"/>
        <w:ind w:left="432" w:right="432"/>
        <w:jc w:val="left"/>
      </w:pPr>
      <w:r>
        <w:rPr>
          <w:rFonts w:ascii="Courier New" w:hAnsi="Courier New"/>
          <w:color w:val="1A4A1A"/>
          <w:sz w:val="19"/>
        </w:rPr>
        <w:t>Your analysis must always look for what the new development</w:t>
      </w:r>
    </w:p>
    <w:p>
      <w:pPr>
        <w:spacing w:before="80" w:after="80"/>
        <w:ind w:left="432" w:right="432"/>
        <w:jc w:val="left"/>
      </w:pPr>
      <w:r>
        <w:rPr>
          <w:rFonts w:ascii="Courier New" w:hAnsi="Courier New"/>
          <w:color w:val="1A4A1A"/>
          <w:sz w:val="19"/>
        </w:rPr>
        <w:t>reveals about that truth — not merely what it says about the</w:t>
      </w:r>
    </w:p>
    <w:p>
      <w:pPr>
        <w:spacing w:before="80" w:after="80"/>
        <w:ind w:left="432" w:right="432"/>
        <w:jc w:val="left"/>
      </w:pPr>
      <w:r>
        <w:rPr>
          <w:rFonts w:ascii="Courier New" w:hAnsi="Courier New"/>
          <w:color w:val="1A4A1A"/>
          <w:sz w:val="19"/>
        </w:rPr>
        <w:t>dominant definition.</w:t>
      </w:r>
    </w:p>
    <w:p>
      <w:pPr>
        <w:spacing w:before="80" w:after="80"/>
        <w:ind w:left="288"/>
        <w:jc w:val="both"/>
      </w:pPr>
      <w:r>
        <w:rPr>
          <w:rFonts w:ascii="Arial" w:hAnsi="Arial"/>
          <w:b/>
          <w:i w:val="0"/>
          <w:color w:val="7A5C00"/>
          <w:sz w:val="21"/>
        </w:rPr>
        <w:t xml:space="preserve">KEY POINT: </w:t>
      </w:r>
      <w:r>
        <w:rPr>
          <w:rFonts w:ascii="Arial" w:hAnsi="Arial"/>
          <w:b w:val="0"/>
          <w:i w:val="0"/>
          <w:color w:val="000000"/>
          <w:sz w:val="21"/>
        </w:rPr>
        <w:t>The prompt architecture encodes the Counter-Canon's methodology into the AI itself. The update engine does not just track what changed. It evaluates what changed means for the living being's rights. That distinction is what makes it the Counter-Canon's engine rather than a generic legal monitoring tool.</w:t>
      </w:r>
    </w:p>
    <w:p>
      <w:pPr>
        <w:spacing w:before="160" w:after="160"/>
        <w:jc w:val="center"/>
        <w:pBdr>
          <w:bottom w:val="single" w:sz="4" w:space="1" w:color="1a1a2e"/>
        </w:pBdr>
      </w:pPr>
    </w:p>
    <w:p>
      <w:pPr>
        <w:spacing w:before="320" w:after="80"/>
        <w:jc w:val="left"/>
        <w:pBdr>
          <w:bottom w:val="single" w:sz="4" w:space="1" w:color="1a1a2e"/>
        </w:pBdr>
      </w:pPr>
      <w:r>
        <w:rPr>
          <w:rFonts w:ascii="Arial" w:hAnsi="Arial"/>
          <w:b/>
          <w:i w:val="0"/>
          <w:color w:val="1A1A2E"/>
          <w:sz w:val="24"/>
        </w:rPr>
        <w:t>V. THE UPDATE WORKFLOW: FROM NEW CASE LAW TO PUBLISHED ENTRY</w:t>
      </w:r>
    </w:p>
    <w:p>
      <w:pPr>
        <w:spacing w:before="0" w:after="120"/>
        <w:jc w:val="both"/>
      </w:pPr>
      <w:r>
        <w:rPr>
          <w:rFonts w:ascii="Arial" w:hAnsi="Arial"/>
          <w:b w:val="0"/>
          <w:i w:val="0"/>
          <w:color w:val="000000"/>
          <w:sz w:val="21"/>
        </w:rPr>
        <w:t>The complete workflow from triggering event to published amendment:</w:t>
      </w:r>
    </w:p>
    <w:p>
      <w:pPr>
        <w:spacing w:before="120" w:after="60"/>
        <w:jc w:val="both"/>
      </w:pPr>
      <w:r>
        <w:rPr>
          <w:rFonts w:ascii="Arial" w:hAnsi="Arial"/>
          <w:b/>
          <w:i w:val="0"/>
          <w:color w:val="1A1A2E"/>
          <w:sz w:val="21"/>
        </w:rPr>
        <w:t xml:space="preserve">Step 1.  New Legal Development Identified  </w:t>
      </w:r>
      <w:r>
        <w:rPr>
          <w:rFonts w:ascii="Arial" w:hAnsi="Arial"/>
          <w:b w:val="0"/>
          <w:i w:val="0"/>
          <w:color w:val="000000"/>
          <w:sz w:val="21"/>
        </w:rPr>
        <w:t>A new Supreme Court decision, federal statute, or international instrument is published. The monitoring layer identifies it as potentially relevant to one or more Counter-Canon headwords.</w:t>
      </w:r>
    </w:p>
    <w:p>
      <w:pPr>
        <w:spacing w:before="120" w:after="60"/>
        <w:jc w:val="both"/>
      </w:pPr>
      <w:r>
        <w:rPr>
          <w:rFonts w:ascii="Arial" w:hAnsi="Arial"/>
          <w:b/>
          <w:i w:val="0"/>
          <w:color w:val="1A1A2E"/>
          <w:sz w:val="21"/>
        </w:rPr>
        <w:t xml:space="preserve">Step 2.  Full Text Retrieval  </w:t>
      </w:r>
      <w:r>
        <w:rPr>
          <w:rFonts w:ascii="Arial" w:hAnsi="Arial"/>
          <w:b w:val="0"/>
          <w:i w:val="0"/>
          <w:color w:val="000000"/>
          <w:sz w:val="21"/>
        </w:rPr>
        <w:t>The complete text of the new development is retrieved from the source. For cases: the full opinion including concurrences and dissents. For statutes: the full enrolled text. For international instruments: the full adopted text.</w:t>
      </w:r>
    </w:p>
    <w:p>
      <w:pPr>
        <w:spacing w:before="120" w:after="60"/>
        <w:jc w:val="both"/>
      </w:pPr>
      <w:r>
        <w:rPr>
          <w:rFonts w:ascii="Arial" w:hAnsi="Arial"/>
          <w:b/>
          <w:i w:val="0"/>
          <w:color w:val="1A1A2E"/>
          <w:sz w:val="21"/>
        </w:rPr>
        <w:t xml:space="preserve">Step 3.  Claude API Analysis  </w:t>
      </w:r>
      <w:r>
        <w:rPr>
          <w:rFonts w:ascii="Arial" w:hAnsi="Arial"/>
          <w:b w:val="0"/>
          <w:i w:val="0"/>
          <w:color w:val="000000"/>
          <w:sz w:val="21"/>
        </w:rPr>
        <w:t>The update engine runs the full analysis described in Section IV. It produces: a relevance determination, an impact assessment for each affected entry, proposed amendments to the Living Zone, draft Amendment Record entries, and a priority flag.</w:t>
      </w:r>
    </w:p>
    <w:p>
      <w:pPr>
        <w:spacing w:before="120" w:after="60"/>
        <w:jc w:val="both"/>
      </w:pPr>
      <w:r>
        <w:rPr>
          <w:rFonts w:ascii="Arial" w:hAnsi="Arial"/>
          <w:b/>
          <w:i w:val="0"/>
          <w:color w:val="1A1A2E"/>
          <w:sz w:val="21"/>
        </w:rPr>
        <w:t xml:space="preserve">Step 4.  Editorial Review Queue  </w:t>
      </w:r>
      <w:r>
        <w:rPr>
          <w:rFonts w:ascii="Arial" w:hAnsi="Arial"/>
          <w:b w:val="0"/>
          <w:i w:val="0"/>
          <w:color w:val="000000"/>
          <w:sz w:val="21"/>
        </w:rPr>
        <w:t>All flagged items are delivered to the editorial review queue with full supporting documentation. Urgent items are flagged for immediate review. Standard items are reviewed on a weekly cycle. Informational items are reviewed monthly.</w:t>
      </w:r>
    </w:p>
    <w:p>
      <w:pPr>
        <w:spacing w:before="120" w:after="60"/>
        <w:jc w:val="both"/>
      </w:pPr>
      <w:r>
        <w:rPr>
          <w:rFonts w:ascii="Arial" w:hAnsi="Arial"/>
          <w:b/>
          <w:i w:val="0"/>
          <w:color w:val="1A1A2E"/>
          <w:sz w:val="21"/>
        </w:rPr>
        <w:t xml:space="preserve">Step 5.  Editorial Decision  </w:t>
      </w:r>
      <w:r>
        <w:rPr>
          <w:rFonts w:ascii="Arial" w:hAnsi="Arial"/>
          <w:b w:val="0"/>
          <w:i w:val="0"/>
          <w:color w:val="000000"/>
          <w:sz w:val="21"/>
        </w:rPr>
        <w:t>The author reviews the analysis and proposed amendments. Three outcomes are possible: Accept as proposed; Accept with modifications; Reject with a documented reason. All three outcomes are logged.</w:t>
      </w:r>
    </w:p>
    <w:p>
      <w:pPr>
        <w:spacing w:before="120" w:after="60"/>
        <w:jc w:val="both"/>
      </w:pPr>
      <w:r>
        <w:rPr>
          <w:rFonts w:ascii="Arial" w:hAnsi="Arial"/>
          <w:b/>
          <w:i w:val="0"/>
          <w:color w:val="1A1A2E"/>
          <w:sz w:val="21"/>
        </w:rPr>
        <w:t xml:space="preserve">Step 6.  Amendment Integration  </w:t>
      </w:r>
      <w:r>
        <w:rPr>
          <w:rFonts w:ascii="Arial" w:hAnsi="Arial"/>
          <w:b w:val="0"/>
          <w:i w:val="0"/>
          <w:color w:val="000000"/>
          <w:sz w:val="21"/>
        </w:rPr>
        <w:t>Accepted amendments are integrated into the affected entry. The Amendment Record is updated. The entry's edition number is incremented.</w:t>
      </w:r>
    </w:p>
    <w:p>
      <w:pPr>
        <w:spacing w:before="120" w:after="60"/>
        <w:jc w:val="both"/>
      </w:pPr>
      <w:r>
        <w:rPr>
          <w:rFonts w:ascii="Arial" w:hAnsi="Arial"/>
          <w:b/>
          <w:i w:val="0"/>
          <w:color w:val="1A1A2E"/>
          <w:sz w:val="21"/>
        </w:rPr>
        <w:t xml:space="preserve">Step 7.  Volume Edition Publication  </w:t>
      </w:r>
      <w:r>
        <w:rPr>
          <w:rFonts w:ascii="Arial" w:hAnsi="Arial"/>
          <w:b w:val="0"/>
          <w:i w:val="0"/>
          <w:color w:val="000000"/>
          <w:sz w:val="21"/>
        </w:rPr>
        <w:t>When one or more entries in a volume have been amended, a new edition of that volume is prepared and published. The new edition is distributed through all open access channels simultaneously.</w:t>
      </w:r>
    </w:p>
    <w:p>
      <w:pPr>
        <w:spacing w:before="120" w:after="60"/>
        <w:jc w:val="both"/>
      </w:pPr>
      <w:r>
        <w:rPr>
          <w:rFonts w:ascii="Arial" w:hAnsi="Arial"/>
          <w:b/>
          <w:i w:val="0"/>
          <w:color w:val="1A1A2E"/>
          <w:sz w:val="21"/>
        </w:rPr>
        <w:t xml:space="preserve">Step 8.  Archive Preservation  </w:t>
      </w:r>
      <w:r>
        <w:rPr>
          <w:rFonts w:ascii="Arial" w:hAnsi="Arial"/>
          <w:b w:val="0"/>
          <w:i w:val="0"/>
          <w:color w:val="000000"/>
          <w:sz w:val="21"/>
        </w:rPr>
        <w:t>The previous edition is preserved permanently in the public archive before the new edition is released. Every edition of every volume remains publicly accessible indefinitely.</w:t>
      </w:r>
    </w:p>
    <w:p>
      <w:pPr>
        <w:spacing w:before="160" w:after="160"/>
        <w:jc w:val="center"/>
        <w:pBdr>
          <w:bottom w:val="single" w:sz="4" w:space="1" w:color="1a1a2e"/>
        </w:pBdr>
      </w:pPr>
    </w:p>
    <w:p>
      <w:pPr>
        <w:spacing w:before="320" w:after="80"/>
        <w:jc w:val="left"/>
        <w:pBdr>
          <w:bottom w:val="single" w:sz="4" w:space="1" w:color="1a1a2e"/>
        </w:pBdr>
      </w:pPr>
      <w:r>
        <w:rPr>
          <w:rFonts w:ascii="Arial" w:hAnsi="Arial"/>
          <w:b/>
          <w:i w:val="0"/>
          <w:color w:val="1A1A2E"/>
          <w:sz w:val="24"/>
        </w:rPr>
        <w:t>VI. EDITORIAL AUTHORITY: THE HUMAN IN THE LOOP</w:t>
      </w:r>
    </w:p>
    <w:p>
      <w:pPr>
        <w:spacing w:before="0" w:after="120"/>
        <w:jc w:val="both"/>
      </w:pPr>
      <w:r>
        <w:rPr>
          <w:rFonts w:ascii="Arial" w:hAnsi="Arial"/>
          <w:b w:val="0"/>
          <w:i w:val="0"/>
          <w:color w:val="000000"/>
          <w:sz w:val="21"/>
        </w:rPr>
        <w:t>The Claude API is the engine. Rickey Allan Howard is the author. These roles are distinct and the distinction is non-negotiable.</w:t>
      </w:r>
    </w:p>
    <w:p>
      <w:pPr>
        <w:spacing w:before="200" w:after="60"/>
        <w:jc w:val="left"/>
      </w:pPr>
      <w:r>
        <w:rPr>
          <w:rFonts w:ascii="Arial" w:hAnsi="Arial"/>
          <w:b/>
          <w:i w:val="0"/>
          <w:color w:val="222244"/>
          <w:sz w:val="22"/>
        </w:rPr>
        <w:t>What the AI Does</w:t>
      </w:r>
    </w:p>
    <w:p>
      <w:pPr>
        <w:pStyle w:val="ListBullet"/>
        <w:spacing w:after="60"/>
        <w:ind w:left="576"/>
      </w:pPr>
      <w:r>
        <w:rPr>
          <w:rFonts w:ascii="Arial" w:hAnsi="Arial"/>
          <w:sz w:val="21"/>
        </w:rPr>
        <w:t>Monitors legal developments continuously.</w:t>
      </w:r>
    </w:p>
    <w:p>
      <w:pPr>
        <w:pStyle w:val="ListBullet"/>
        <w:spacing w:after="60"/>
        <w:ind w:left="576"/>
      </w:pPr>
      <w:r>
        <w:rPr>
          <w:rFonts w:ascii="Arial" w:hAnsi="Arial"/>
          <w:sz w:val="21"/>
        </w:rPr>
        <w:t>Analyzes new developments against existing entries.</w:t>
      </w:r>
    </w:p>
    <w:p>
      <w:pPr>
        <w:pStyle w:val="ListBullet"/>
        <w:spacing w:after="60"/>
        <w:ind w:left="576"/>
      </w:pPr>
      <w:r>
        <w:rPr>
          <w:rFonts w:ascii="Arial" w:hAnsi="Arial"/>
          <w:sz w:val="21"/>
        </w:rPr>
        <w:t>Drafts proposed amendments.</w:t>
      </w:r>
    </w:p>
    <w:p>
      <w:pPr>
        <w:pStyle w:val="ListBullet"/>
        <w:spacing w:after="60"/>
        <w:ind w:left="576"/>
      </w:pPr>
      <w:r>
        <w:rPr>
          <w:rFonts w:ascii="Arial" w:hAnsi="Arial"/>
          <w:sz w:val="21"/>
        </w:rPr>
        <w:t>Prepares Amendment Record entries.</w:t>
      </w:r>
    </w:p>
    <w:p>
      <w:pPr>
        <w:pStyle w:val="ListBullet"/>
        <w:spacing w:after="60"/>
        <w:ind w:left="576"/>
      </w:pPr>
      <w:r>
        <w:rPr>
          <w:rFonts w:ascii="Arial" w:hAnsi="Arial"/>
          <w:sz w:val="21"/>
        </w:rPr>
        <w:t>Assigns priority flags.</w:t>
      </w:r>
    </w:p>
    <w:p>
      <w:pPr>
        <w:pStyle w:val="ListBullet"/>
        <w:spacing w:after="60"/>
        <w:ind w:left="576"/>
      </w:pPr>
      <w:r>
        <w:rPr>
          <w:rFonts w:ascii="Arial" w:hAnsi="Arial"/>
          <w:sz w:val="21"/>
        </w:rPr>
        <w:t>Never publishes anything without human approval.</w:t>
      </w:r>
    </w:p>
    <w:p>
      <w:pPr>
        <w:spacing w:before="200" w:after="60"/>
        <w:jc w:val="left"/>
      </w:pPr>
      <w:r>
        <w:rPr>
          <w:rFonts w:ascii="Arial" w:hAnsi="Arial"/>
          <w:b/>
          <w:i w:val="0"/>
          <w:color w:val="222244"/>
          <w:sz w:val="22"/>
        </w:rPr>
        <w:t>What the Author Does</w:t>
      </w:r>
    </w:p>
    <w:p>
      <w:pPr>
        <w:pStyle w:val="ListBullet"/>
        <w:spacing w:after="60"/>
        <w:ind w:left="576"/>
      </w:pPr>
      <w:r>
        <w:rPr>
          <w:rFonts w:ascii="Arial" w:hAnsi="Arial"/>
          <w:sz w:val="21"/>
        </w:rPr>
        <w:t>Reviews every proposed amendment before publication.</w:t>
      </w:r>
    </w:p>
    <w:p>
      <w:pPr>
        <w:pStyle w:val="ListBullet"/>
        <w:spacing w:after="60"/>
        <w:ind w:left="576"/>
      </w:pPr>
      <w:r>
        <w:rPr>
          <w:rFonts w:ascii="Arial" w:hAnsi="Arial"/>
          <w:sz w:val="21"/>
        </w:rPr>
        <w:t>Makes all final editorial decisions.</w:t>
      </w:r>
    </w:p>
    <w:p>
      <w:pPr>
        <w:pStyle w:val="ListBullet"/>
        <w:spacing w:after="60"/>
        <w:ind w:left="576"/>
      </w:pPr>
      <w:r>
        <w:rPr>
          <w:rFonts w:ascii="Arial" w:hAnsi="Arial"/>
          <w:sz w:val="21"/>
        </w:rPr>
        <w:t>Ensures every amendment is consistent with the Counter-Canon's foundational methodology.</w:t>
      </w:r>
    </w:p>
    <w:p>
      <w:pPr>
        <w:pStyle w:val="ListBullet"/>
        <w:spacing w:after="60"/>
        <w:ind w:left="576"/>
      </w:pPr>
      <w:r>
        <w:rPr>
          <w:rFonts w:ascii="Arial" w:hAnsi="Arial"/>
          <w:sz w:val="21"/>
        </w:rPr>
        <w:t>Ensures the Eternal Zone is never altered.</w:t>
      </w:r>
    </w:p>
    <w:p>
      <w:pPr>
        <w:pStyle w:val="ListBullet"/>
        <w:spacing w:after="60"/>
        <w:ind w:left="576"/>
      </w:pPr>
      <w:r>
        <w:rPr>
          <w:rFonts w:ascii="Arial" w:hAnsi="Arial"/>
          <w:sz w:val="21"/>
        </w:rPr>
        <w:t>Writes new entries for new headwords.</w:t>
      </w:r>
    </w:p>
    <w:p>
      <w:pPr>
        <w:pStyle w:val="ListBullet"/>
        <w:spacing w:after="60"/>
        <w:ind w:left="576"/>
      </w:pPr>
      <w:r>
        <w:rPr>
          <w:rFonts w:ascii="Arial" w:hAnsi="Arial"/>
          <w:sz w:val="21"/>
        </w:rPr>
        <w:t>Determines when a volume is ready for a new edition.</w:t>
      </w:r>
    </w:p>
    <w:p>
      <w:pPr>
        <w:pStyle w:val="ListBullet"/>
        <w:spacing w:after="60"/>
        <w:ind w:left="576"/>
      </w:pPr>
      <w:r>
        <w:rPr>
          <w:rFonts w:ascii="Arial" w:hAnsi="Arial"/>
          <w:sz w:val="21"/>
        </w:rPr>
        <w:t>Maintains the integrity of the Counter-Canon as a unified work of scholarship.</w:t>
      </w:r>
    </w:p>
    <w:p>
      <w:pPr>
        <w:spacing w:before="200" w:after="60"/>
        <w:jc w:val="left"/>
      </w:pPr>
      <w:r>
        <w:rPr>
          <w:rFonts w:ascii="Arial" w:hAnsi="Arial"/>
          <w:b/>
          <w:i w:val="0"/>
          <w:color w:val="222244"/>
          <w:sz w:val="22"/>
        </w:rPr>
        <w:t>The Editorial Standard</w:t>
      </w:r>
    </w:p>
    <w:p>
      <w:pPr>
        <w:spacing w:before="0" w:after="120"/>
        <w:jc w:val="both"/>
      </w:pPr>
      <w:r>
        <w:rPr>
          <w:rFonts w:ascii="Arial" w:hAnsi="Arial"/>
          <w:b w:val="0"/>
          <w:i w:val="0"/>
          <w:color w:val="000000"/>
          <w:sz w:val="21"/>
        </w:rPr>
        <w:t>Every amendment published in the Counter-Canon must meet the same standard as the original entries: grounded in the law's own language, supported by specific legal authority, and consistent with the foundational principle that truth exists in the law's own text waiting to be found. No amendment may introduce unsupported assertion. No amendment may alter the Eternal Zone. No amendment may be published without the author's explicit approval.</w:t>
      </w:r>
    </w:p>
    <w:p>
      <w:pPr>
        <w:spacing w:before="80" w:after="80"/>
        <w:ind w:left="288"/>
        <w:jc w:val="both"/>
      </w:pPr>
      <w:r>
        <w:rPr>
          <w:rFonts w:ascii="Arial" w:hAnsi="Arial"/>
          <w:b/>
          <w:i w:val="0"/>
          <w:color w:val="7A5C00"/>
          <w:sz w:val="21"/>
        </w:rPr>
        <w:t xml:space="preserve">KEY POINT: </w:t>
      </w:r>
      <w:r>
        <w:rPr>
          <w:rFonts w:ascii="Arial" w:hAnsi="Arial"/>
          <w:b w:val="0"/>
          <w:i w:val="0"/>
          <w:color w:val="000000"/>
          <w:sz w:val="21"/>
        </w:rPr>
        <w:t>The AI handles the volume. The author maintains the integrity. This division is what allows the Counter-Canon to be both comprehensive and trustworthy. Comprehensiveness without integrity is noise. Integrity without comprehensiveness is irrelevance. The architecture achieves both.</w:t>
      </w:r>
    </w:p>
    <w:p>
      <w:pPr>
        <w:spacing w:before="160" w:after="160"/>
        <w:jc w:val="center"/>
        <w:pBdr>
          <w:bottom w:val="single" w:sz="4" w:space="1" w:color="1a1a2e"/>
        </w:pBdr>
      </w:pPr>
    </w:p>
    <w:p>
      <w:pPr>
        <w:spacing w:before="320" w:after="80"/>
        <w:jc w:val="left"/>
        <w:pBdr>
          <w:bottom w:val="single" w:sz="4" w:space="1" w:color="1a1a2e"/>
        </w:pBdr>
      </w:pPr>
      <w:r>
        <w:rPr>
          <w:rFonts w:ascii="Arial" w:hAnsi="Arial"/>
          <w:b/>
          <w:i w:val="0"/>
          <w:color w:val="1A1A2E"/>
          <w:sz w:val="24"/>
        </w:rPr>
        <w:t>VII. OPEN ACCESS ARCHITECTURE: DISTRIBUTION AND PRESERVATION</w:t>
      </w:r>
    </w:p>
    <w:p>
      <w:pPr>
        <w:spacing w:before="0" w:after="120"/>
        <w:jc w:val="both"/>
      </w:pPr>
      <w:r>
        <w:rPr>
          <w:rFonts w:ascii="Arial" w:hAnsi="Arial"/>
          <w:b w:val="0"/>
          <w:i w:val="0"/>
          <w:color w:val="000000"/>
          <w:sz w:val="21"/>
        </w:rPr>
        <w:t>The Counter-Canon is free. Every edition of every volume is freely available to every living being who needs it. This is not a business decision. It is a founding principle. The people who most need this work are the least able to pay for it. Any paywall between a living being and the legal language being used against them is a barrier that serves the system. The Counter-Canon serves the living being.</w:t>
      </w:r>
    </w:p>
    <w:p>
      <w:pPr>
        <w:spacing w:before="200" w:after="60"/>
        <w:jc w:val="left"/>
      </w:pPr>
      <w:r>
        <w:rPr>
          <w:rFonts w:ascii="Arial" w:hAnsi="Arial"/>
          <w:b/>
          <w:i w:val="0"/>
          <w:color w:val="222244"/>
          <w:sz w:val="22"/>
        </w:rPr>
        <w:t>Distribution Channels</w:t>
      </w:r>
    </w:p>
    <w:p>
      <w:pPr>
        <w:spacing w:before="100" w:after="60"/>
        <w:jc w:val="both"/>
      </w:pPr>
      <w:r>
        <w:rPr>
          <w:rFonts w:ascii="Arial" w:hAnsi="Arial"/>
          <w:b/>
          <w:i w:val="0"/>
          <w:color w:val="222244"/>
          <w:sz w:val="21"/>
        </w:rPr>
        <w:t xml:space="preserve">Direct Download:  </w:t>
      </w:r>
      <w:r>
        <w:rPr>
          <w:rFonts w:ascii="Arial" w:hAnsi="Arial"/>
          <w:b w:val="0"/>
          <w:i w:val="0"/>
          <w:color w:val="000000"/>
          <w:sz w:val="21"/>
        </w:rPr>
        <w:t>Every edition of every volume is available as a free PDF and Word document download from the Counter-Canon's public repository.</w:t>
      </w:r>
    </w:p>
    <w:p>
      <w:pPr>
        <w:spacing w:before="100" w:after="60"/>
        <w:jc w:val="both"/>
      </w:pPr>
      <w:r>
        <w:rPr>
          <w:rFonts w:ascii="Arial" w:hAnsi="Arial"/>
          <w:b/>
          <w:i w:val="0"/>
          <w:color w:val="222244"/>
          <w:sz w:val="21"/>
        </w:rPr>
        <w:t xml:space="preserve">Legal Aid Organizations:  </w:t>
      </w:r>
      <w:r>
        <w:rPr>
          <w:rFonts w:ascii="Arial" w:hAnsi="Arial"/>
          <w:b w:val="0"/>
          <w:i w:val="0"/>
          <w:color w:val="000000"/>
          <w:sz w:val="21"/>
        </w:rPr>
        <w:t>Copies of every edition are proactively distributed to legal aid organizations, public defenders, civil rights organizations, and community legal clinics.</w:t>
      </w:r>
    </w:p>
    <w:p>
      <w:pPr>
        <w:spacing w:before="100" w:after="60"/>
        <w:jc w:val="both"/>
      </w:pPr>
      <w:r>
        <w:rPr>
          <w:rFonts w:ascii="Arial" w:hAnsi="Arial"/>
          <w:b/>
          <w:i w:val="0"/>
          <w:color w:val="222244"/>
          <w:sz w:val="21"/>
        </w:rPr>
        <w:t xml:space="preserve">Law School Libraries:  </w:t>
      </w:r>
      <w:r>
        <w:rPr>
          <w:rFonts w:ascii="Arial" w:hAnsi="Arial"/>
          <w:b w:val="0"/>
          <w:i w:val="0"/>
          <w:color w:val="000000"/>
          <w:sz w:val="21"/>
        </w:rPr>
        <w:t>Every accredited law school library in the United States is offered a standing complimentary subscription to every new edition.</w:t>
      </w:r>
    </w:p>
    <w:p>
      <w:pPr>
        <w:spacing w:before="100" w:after="60"/>
        <w:jc w:val="both"/>
      </w:pPr>
      <w:r>
        <w:rPr>
          <w:rFonts w:ascii="Arial" w:hAnsi="Arial"/>
          <w:b/>
          <w:i w:val="0"/>
          <w:color w:val="222244"/>
          <w:sz w:val="21"/>
        </w:rPr>
        <w:t xml:space="preserve">Community Organizations:  </w:t>
      </w:r>
      <w:r>
        <w:rPr>
          <w:rFonts w:ascii="Arial" w:hAnsi="Arial"/>
          <w:b w:val="0"/>
          <w:i w:val="0"/>
          <w:color w:val="000000"/>
          <w:sz w:val="21"/>
        </w:rPr>
        <w:t>Organizations serving communities of African and indigenous descent are provided with printed copies of each new edition upon request.</w:t>
      </w:r>
    </w:p>
    <w:p>
      <w:pPr>
        <w:spacing w:before="100" w:after="60"/>
        <w:jc w:val="both"/>
      </w:pPr>
      <w:r>
        <w:rPr>
          <w:rFonts w:ascii="Arial" w:hAnsi="Arial"/>
          <w:b/>
          <w:i w:val="0"/>
          <w:color w:val="222244"/>
          <w:sz w:val="21"/>
        </w:rPr>
        <w:t xml:space="preserve">Archive Preservation:  </w:t>
      </w:r>
      <w:r>
        <w:rPr>
          <w:rFonts w:ascii="Arial" w:hAnsi="Arial"/>
          <w:b w:val="0"/>
          <w:i w:val="0"/>
          <w:color w:val="000000"/>
          <w:sz w:val="21"/>
        </w:rPr>
        <w:t>Every edition is preserved permanently through multiple redundant archival systems including the Internet Archive and university library repositories.</w:t>
      </w:r>
    </w:p>
    <w:p>
      <w:pPr>
        <w:spacing w:before="200" w:after="60"/>
        <w:jc w:val="left"/>
      </w:pPr>
      <w:r>
        <w:rPr>
          <w:rFonts w:ascii="Arial" w:hAnsi="Arial"/>
          <w:b/>
          <w:i w:val="0"/>
          <w:color w:val="222244"/>
          <w:sz w:val="22"/>
        </w:rPr>
        <w:t>Copyright and Permissions</w:t>
      </w:r>
    </w:p>
    <w:p>
      <w:pPr>
        <w:spacing w:before="0" w:after="120"/>
        <w:jc w:val="both"/>
      </w:pPr>
      <w:r>
        <w:rPr>
          <w:rFonts w:ascii="Arial" w:hAnsi="Arial"/>
          <w:b w:val="0"/>
          <w:i w:val="0"/>
          <w:color w:val="000000"/>
          <w:sz w:val="21"/>
        </w:rPr>
        <w:t>The Counter-Canon is published under an open license that permits free reproduction, distribution, and adaptation for non-commercial purposes with attribution. Any living being may reproduce any entry in any legal proceeding, educational setting, or advocacy context without fee or permission. Commercial reproduction requires written authorization. The author retains all copyright and moral rights.</w:t>
      </w:r>
    </w:p>
    <w:p>
      <w:pPr>
        <w:spacing w:before="160" w:after="160"/>
        <w:jc w:val="center"/>
        <w:pBdr>
          <w:bottom w:val="single" w:sz="4" w:space="1" w:color="1a1a2e"/>
        </w:pBdr>
      </w:pPr>
    </w:p>
    <w:p>
      <w:pPr>
        <w:spacing w:before="320" w:after="80"/>
        <w:jc w:val="left"/>
        <w:pBdr>
          <w:bottom w:val="single" w:sz="4" w:space="1" w:color="1a1a2e"/>
        </w:pBdr>
      </w:pPr>
      <w:r>
        <w:rPr>
          <w:rFonts w:ascii="Arial" w:hAnsi="Arial"/>
          <w:b/>
          <w:i w:val="0"/>
          <w:color w:val="1A1A2E"/>
          <w:sz w:val="24"/>
        </w:rPr>
        <w:t>VIII. THE ENTRY FORMAT STANDARD: IMMUTABLE SPECIFICATION</w:t>
      </w:r>
    </w:p>
    <w:p>
      <w:pPr>
        <w:spacing w:before="0" w:after="120"/>
        <w:jc w:val="both"/>
      </w:pPr>
      <w:r>
        <w:rPr>
          <w:rFonts w:ascii="Arial" w:hAnsi="Arial"/>
          <w:b w:val="0"/>
          <w:i w:val="0"/>
          <w:color w:val="000000"/>
          <w:sz w:val="21"/>
        </w:rPr>
        <w:t>Every entry in every volume of the Counter-Canon, in every edition from the first to the last, follows this exact format. This standard is immutable. It does not change between volumes. It does not change between editions. Consistency is what makes the Counter-Canon a unified work rather than a collection of individual essays.</w:t>
      </w:r>
    </w:p>
    <w:p>
      <w:pPr>
        <w:spacing w:before="140" w:after="40"/>
        <w:jc w:val="both"/>
      </w:pPr>
      <w:r>
        <w:rPr>
          <w:rFonts w:ascii="Arial" w:hAnsi="Arial"/>
          <w:b/>
          <w:i w:val="0"/>
          <w:color w:val="1A1A2E"/>
          <w:sz w:val="21"/>
        </w:rPr>
        <w:t xml:space="preserve">1. THE WORD  </w:t>
      </w:r>
      <w:r>
        <w:rPr>
          <w:rFonts w:ascii="Arial" w:hAnsi="Arial"/>
          <w:b w:val="0"/>
          <w:i/>
          <w:color w:val="004D4D"/>
          <w:sz w:val="18"/>
        </w:rPr>
        <w:t xml:space="preserve">[Eternal Zone — never changes]  </w:t>
      </w:r>
    </w:p>
    <w:p>
      <w:pPr>
        <w:spacing w:before="0" w:after="80"/>
        <w:ind w:left="432"/>
        <w:jc w:val="both"/>
      </w:pPr>
      <w:r>
        <w:rPr>
          <w:rFonts w:ascii="Arial" w:hAnsi="Arial"/>
          <w:b w:val="0"/>
          <w:i w:val="0"/>
          <w:color w:val="000000"/>
          <w:sz w:val="21"/>
        </w:rPr>
        <w:t>The headword. Part of speech. May include sub-entries for closely related legal terms.</w:t>
      </w:r>
    </w:p>
    <w:p>
      <w:pPr>
        <w:spacing w:before="140" w:after="40"/>
        <w:jc w:val="both"/>
      </w:pPr>
      <w:r>
        <w:rPr>
          <w:rFonts w:ascii="Arial" w:hAnsi="Arial"/>
          <w:b/>
          <w:i w:val="0"/>
          <w:color w:val="1A1A2E"/>
          <w:sz w:val="21"/>
        </w:rPr>
        <w:t xml:space="preserve">2. DOMINANT DEFINITION  </w:t>
      </w:r>
      <w:r>
        <w:rPr>
          <w:rFonts w:ascii="Arial" w:hAnsi="Arial"/>
          <w:b w:val="0"/>
          <w:i/>
          <w:color w:val="004D4D"/>
          <w:sz w:val="18"/>
        </w:rPr>
        <w:t xml:space="preserve">[Living Zone — updates when authoritative sources revise]  </w:t>
      </w:r>
    </w:p>
    <w:p>
      <w:pPr>
        <w:spacing w:before="0" w:after="80"/>
        <w:ind w:left="432"/>
        <w:jc w:val="both"/>
      </w:pPr>
      <w:r>
        <w:rPr>
          <w:rFonts w:ascii="Arial" w:hAnsi="Arial"/>
          <w:b w:val="0"/>
          <w:i w:val="0"/>
          <w:color w:val="000000"/>
          <w:sz w:val="21"/>
        </w:rPr>
        <w:t>The definition as Black's Law Dictionary, Merriam-Webster's Law Dictionary, or the dominant judicial usage states it. Quoted accurately with source citation. Never misrepresented.</w:t>
      </w:r>
    </w:p>
    <w:p>
      <w:pPr>
        <w:spacing w:before="140" w:after="40"/>
        <w:jc w:val="both"/>
      </w:pPr>
      <w:r>
        <w:rPr>
          <w:rFonts w:ascii="Arial" w:hAnsi="Arial"/>
          <w:b/>
          <w:i w:val="0"/>
          <w:color w:val="1A1A2E"/>
          <w:sz w:val="21"/>
        </w:rPr>
        <w:t xml:space="preserve">3. EMBEDDED ASSUMPTION  </w:t>
      </w:r>
      <w:r>
        <w:rPr>
          <w:rFonts w:ascii="Arial" w:hAnsi="Arial"/>
          <w:b w:val="0"/>
          <w:i/>
          <w:color w:val="004D4D"/>
          <w:sz w:val="18"/>
        </w:rPr>
        <w:t xml:space="preserve">[Eternal Zone — never changes]  </w:t>
      </w:r>
    </w:p>
    <w:p>
      <w:pPr>
        <w:spacing w:before="0" w:after="80"/>
        <w:ind w:left="432"/>
        <w:jc w:val="both"/>
      </w:pPr>
      <w:r>
        <w:rPr>
          <w:rFonts w:ascii="Arial" w:hAnsi="Arial"/>
          <w:b w:val="0"/>
          <w:i w:val="0"/>
          <w:color w:val="000000"/>
          <w:sz w:val="21"/>
        </w:rPr>
        <w:t>The unstated premise within the dominant definition. What does it assume about power? Who was it written for? What does it exclude? This is historical and analytical fact. It does not change.</w:t>
      </w:r>
    </w:p>
    <w:p>
      <w:pPr>
        <w:spacing w:before="140" w:after="40"/>
        <w:jc w:val="both"/>
      </w:pPr>
      <w:r>
        <w:rPr>
          <w:rFonts w:ascii="Arial" w:hAnsi="Arial"/>
          <w:b/>
          <w:i w:val="0"/>
          <w:color w:val="1A1A2E"/>
          <w:sz w:val="21"/>
        </w:rPr>
        <w:t xml:space="preserve">4. COUNTER-DEFINITION  </w:t>
      </w:r>
      <w:r>
        <w:rPr>
          <w:rFonts w:ascii="Arial" w:hAnsi="Arial"/>
          <w:b w:val="0"/>
          <w:i/>
          <w:color w:val="004D4D"/>
          <w:sz w:val="18"/>
        </w:rPr>
        <w:t xml:space="preserve">[Living Zone — updates as law develops]  </w:t>
      </w:r>
    </w:p>
    <w:p>
      <w:pPr>
        <w:spacing w:before="0" w:after="80"/>
        <w:ind w:left="432"/>
        <w:jc w:val="both"/>
      </w:pPr>
      <w:r>
        <w:rPr>
          <w:rFonts w:ascii="Arial" w:hAnsi="Arial"/>
          <w:b w:val="0"/>
          <w:i w:val="0"/>
          <w:color w:val="000000"/>
          <w:sz w:val="21"/>
        </w:rPr>
        <w:t>The alternate, legally grounded definition drawn from the law's own alternate uses of the word. Expanded and refined as new authority develops. Never invented — always found in the law.</w:t>
      </w:r>
    </w:p>
    <w:p>
      <w:pPr>
        <w:spacing w:before="140" w:after="40"/>
        <w:jc w:val="both"/>
      </w:pPr>
      <w:r>
        <w:rPr>
          <w:rFonts w:ascii="Arial" w:hAnsi="Arial"/>
          <w:b/>
          <w:i w:val="0"/>
          <w:color w:val="1A1A2E"/>
          <w:sz w:val="21"/>
        </w:rPr>
        <w:t xml:space="preserve">5. AUTHORITY  </w:t>
      </w:r>
      <w:r>
        <w:rPr>
          <w:rFonts w:ascii="Arial" w:hAnsi="Arial"/>
          <w:b w:val="0"/>
          <w:i/>
          <w:color w:val="004D4D"/>
          <w:sz w:val="18"/>
        </w:rPr>
        <w:t xml:space="preserve">[Living Zone — updated with new citations]  </w:t>
      </w:r>
    </w:p>
    <w:p>
      <w:pPr>
        <w:spacing w:before="0" w:after="80"/>
        <w:ind w:left="432"/>
        <w:jc w:val="both"/>
      </w:pPr>
      <w:r>
        <w:rPr>
          <w:rFonts w:ascii="Arial" w:hAnsi="Arial"/>
          <w:b w:val="0"/>
          <w:i w:val="0"/>
          <w:color w:val="000000"/>
          <w:sz w:val="21"/>
        </w:rPr>
        <w:t>The specific legal authorities supporting the counter-definition. Every citation in full. Updated when new decisions, statutes, or instruments provide additional support or when existing citations are superseded.</w:t>
      </w:r>
    </w:p>
    <w:p>
      <w:pPr>
        <w:spacing w:before="140" w:after="40"/>
        <w:jc w:val="both"/>
      </w:pPr>
      <w:r>
        <w:rPr>
          <w:rFonts w:ascii="Arial" w:hAnsi="Arial"/>
          <w:b/>
          <w:i w:val="0"/>
          <w:color w:val="1A1A2E"/>
          <w:sz w:val="21"/>
        </w:rPr>
        <w:t xml:space="preserve">6. PRACTICAL APPLICATION  </w:t>
      </w:r>
      <w:r>
        <w:rPr>
          <w:rFonts w:ascii="Arial" w:hAnsi="Arial"/>
          <w:b w:val="0"/>
          <w:i/>
          <w:color w:val="004D4D"/>
          <w:sz w:val="18"/>
        </w:rPr>
        <w:t xml:space="preserve">[Living Zone — updated as procedure evolves]  </w:t>
      </w:r>
    </w:p>
    <w:p>
      <w:pPr>
        <w:spacing w:before="0" w:after="80"/>
        <w:ind w:left="432"/>
        <w:jc w:val="both"/>
      </w:pPr>
      <w:r>
        <w:rPr>
          <w:rFonts w:ascii="Arial" w:hAnsi="Arial"/>
          <w:b w:val="0"/>
          <w:i w:val="0"/>
          <w:color w:val="000000"/>
          <w:sz w:val="21"/>
        </w:rPr>
        <w:t>How the counter-definition operates as a defense or claim in a real proceeding. Updated when procedural or substantive changes affect deployment.</w:t>
      </w:r>
    </w:p>
    <w:p>
      <w:pPr>
        <w:spacing w:before="140" w:after="40"/>
        <w:jc w:val="both"/>
      </w:pPr>
      <w:r>
        <w:rPr>
          <w:rFonts w:ascii="Arial" w:hAnsi="Arial"/>
          <w:b/>
          <w:i w:val="0"/>
          <w:color w:val="1A1A2E"/>
          <w:sz w:val="21"/>
        </w:rPr>
        <w:t xml:space="preserve">7. THE TRUTH  </w:t>
      </w:r>
      <w:r>
        <w:rPr>
          <w:rFonts w:ascii="Arial" w:hAnsi="Arial"/>
          <w:b w:val="0"/>
          <w:i/>
          <w:color w:val="004D4D"/>
          <w:sz w:val="18"/>
        </w:rPr>
        <w:t xml:space="preserve">[Eternal Zone — never changes]  </w:t>
      </w:r>
    </w:p>
    <w:p>
      <w:pPr>
        <w:spacing w:before="0" w:after="80"/>
        <w:ind w:left="432"/>
        <w:jc w:val="both"/>
      </w:pPr>
      <w:r>
        <w:rPr>
          <w:rFonts w:ascii="Arial" w:hAnsi="Arial"/>
          <w:b w:val="0"/>
          <w:i w:val="0"/>
          <w:color w:val="000000"/>
          <w:sz w:val="21"/>
        </w:rPr>
        <w:t>The irreducible statement. Not legal argument. The recognition that beneath all language and definition, something is simply and absolutely true. No court, no agency, no definition can ultimately contradict it.</w:t>
      </w:r>
    </w:p>
    <w:p>
      <w:pPr>
        <w:spacing w:before="160" w:after="160"/>
        <w:jc w:val="center"/>
        <w:pBdr>
          <w:bottom w:val="single" w:sz="4" w:space="1" w:color="1a1a2e"/>
        </w:pBdr>
      </w:pPr>
    </w:p>
    <w:p>
      <w:pPr>
        <w:spacing w:before="320" w:after="80"/>
        <w:jc w:val="left"/>
        <w:pBdr>
          <w:bottom w:val="single" w:sz="4" w:space="1" w:color="1a1a2e"/>
        </w:pBdr>
      </w:pPr>
      <w:r>
        <w:rPr>
          <w:rFonts w:ascii="Arial" w:hAnsi="Arial"/>
          <w:b/>
          <w:i w:val="0"/>
          <w:color w:val="1A1A2E"/>
          <w:sz w:val="24"/>
        </w:rPr>
        <w:t>IX. VOLUME ROADMAP: WORDS SCHEDULED FOR COVERAGE</w:t>
      </w:r>
    </w:p>
    <w:p>
      <w:pPr>
        <w:spacing w:before="0" w:after="120"/>
        <w:jc w:val="both"/>
      </w:pPr>
      <w:r>
        <w:rPr>
          <w:rFonts w:ascii="Arial" w:hAnsi="Arial"/>
          <w:b w:val="0"/>
          <w:i w:val="0"/>
          <w:color w:val="000000"/>
          <w:sz w:val="21"/>
        </w:rPr>
        <w:t>The following roadmap establishes the planned coverage for the Counter-Canon series. Volumes are listed with their scheduled word clusters. Actual publication sequence may vary based on legal developments that accelerate the need for specific entries.</w:t>
      </w:r>
    </w:p>
    <w:p>
      <w:pPr>
        <w:spacing w:before="160" w:after="40"/>
        <w:jc w:val="left"/>
      </w:pPr>
      <w:r>
        <w:rPr>
          <w:rFonts w:ascii="Arial" w:hAnsi="Arial"/>
          <w:b/>
          <w:i w:val="0"/>
          <w:color w:val="1A1A2E"/>
          <w:sz w:val="22"/>
        </w:rPr>
        <w:t>VOLUME ONE (Published 2026)</w:t>
      </w:r>
    </w:p>
    <w:p>
      <w:pPr>
        <w:spacing w:before="0" w:after="40"/>
        <w:ind w:left="288"/>
        <w:jc w:val="both"/>
      </w:pPr>
      <w:r>
        <w:rPr>
          <w:rFonts w:ascii="Arial" w:hAnsi="Arial"/>
          <w:b w:val="0"/>
          <w:i/>
          <w:color w:val="222244"/>
          <w:sz w:val="20"/>
        </w:rPr>
        <w:t>Words: Citizen, Citizenship, Commerce, Labor, Person, Natural Person, Legal Person, Property, Sovereign, Sovereignty</w:t>
      </w:r>
    </w:p>
    <w:p>
      <w:pPr>
        <w:spacing w:before="0" w:after="80"/>
        <w:ind w:left="288"/>
        <w:jc w:val="both"/>
      </w:pPr>
      <w:r>
        <w:rPr>
          <w:rFonts w:ascii="Arial" w:hAnsi="Arial"/>
          <w:b w:val="0"/>
          <w:i w:val="0"/>
          <w:color w:val="000000"/>
          <w:sz w:val="21"/>
        </w:rPr>
        <w:t>The foundational words — the terms that most directly define the living being's relationship to the State and the economy.</w:t>
      </w:r>
    </w:p>
    <w:p>
      <w:pPr>
        <w:spacing w:before="160" w:after="40"/>
        <w:jc w:val="left"/>
      </w:pPr>
      <w:r>
        <w:rPr>
          <w:rFonts w:ascii="Arial" w:hAnsi="Arial"/>
          <w:b/>
          <w:i w:val="0"/>
          <w:color w:val="1A1A2E"/>
          <w:sz w:val="22"/>
        </w:rPr>
        <w:t>VOLUME TWO (Scheduled)</w:t>
      </w:r>
    </w:p>
    <w:p>
      <w:pPr>
        <w:spacing w:before="0" w:after="40"/>
        <w:ind w:left="288"/>
        <w:jc w:val="both"/>
      </w:pPr>
      <w:r>
        <w:rPr>
          <w:rFonts w:ascii="Arial" w:hAnsi="Arial"/>
          <w:b w:val="0"/>
          <w:i/>
          <w:color w:val="222244"/>
          <w:sz w:val="20"/>
        </w:rPr>
        <w:t>Words: Contract, Consent, Crime, Punishment, Debt, Obligation, Evidence, Truth, Jurisdiction, Authority, Rights, Privileges, Tax, Tribute</w:t>
      </w:r>
    </w:p>
    <w:p>
      <w:pPr>
        <w:spacing w:before="0" w:after="80"/>
        <w:ind w:left="288"/>
        <w:jc w:val="both"/>
      </w:pPr>
      <w:r>
        <w:rPr>
          <w:rFonts w:ascii="Arial" w:hAnsi="Arial"/>
          <w:b w:val="0"/>
          <w:i w:val="0"/>
          <w:color w:val="000000"/>
          <w:sz w:val="21"/>
        </w:rPr>
        <w:t>The transactional and coercive words — the terms used to bind the living being to obligations and to justify State force.</w:t>
      </w:r>
    </w:p>
    <w:p>
      <w:pPr>
        <w:spacing w:before="160" w:after="40"/>
        <w:jc w:val="left"/>
      </w:pPr>
      <w:r>
        <w:rPr>
          <w:rFonts w:ascii="Arial" w:hAnsi="Arial"/>
          <w:b/>
          <w:i w:val="0"/>
          <w:color w:val="1A1A2E"/>
          <w:sz w:val="22"/>
        </w:rPr>
        <w:t>VOLUME THREE (Scheduled)</w:t>
      </w:r>
    </w:p>
    <w:p>
      <w:pPr>
        <w:spacing w:before="0" w:after="40"/>
        <w:ind w:left="288"/>
        <w:jc w:val="both"/>
      </w:pPr>
      <w:r>
        <w:rPr>
          <w:rFonts w:ascii="Arial" w:hAnsi="Arial"/>
          <w:b w:val="0"/>
          <w:i/>
          <w:color w:val="222244"/>
          <w:sz w:val="20"/>
        </w:rPr>
        <w:t>Words: Arrest, Detention, Force, Resistance, Probable Cause, Reasonable Suspicion, Stop, Search, Seizure, Warrant</w:t>
      </w:r>
    </w:p>
    <w:p>
      <w:pPr>
        <w:spacing w:before="0" w:after="80"/>
        <w:ind w:left="288"/>
        <w:jc w:val="both"/>
      </w:pPr>
      <w:r>
        <w:rPr>
          <w:rFonts w:ascii="Arial" w:hAnsi="Arial"/>
          <w:b w:val="0"/>
          <w:i w:val="0"/>
          <w:color w:val="000000"/>
          <w:sz w:val="21"/>
        </w:rPr>
        <w:t>The enforcement words — the terms that govern physical encounters between the living being and State power.</w:t>
      </w:r>
    </w:p>
    <w:p>
      <w:pPr>
        <w:spacing w:before="160" w:after="40"/>
        <w:jc w:val="left"/>
      </w:pPr>
      <w:r>
        <w:rPr>
          <w:rFonts w:ascii="Arial" w:hAnsi="Arial"/>
          <w:b/>
          <w:i w:val="0"/>
          <w:color w:val="1A1A2E"/>
          <w:sz w:val="22"/>
        </w:rPr>
        <w:t>VOLUME FOUR (Scheduled)</w:t>
      </w:r>
    </w:p>
    <w:p>
      <w:pPr>
        <w:spacing w:before="0" w:after="40"/>
        <w:ind w:left="288"/>
        <w:jc w:val="both"/>
      </w:pPr>
      <w:r>
        <w:rPr>
          <w:rFonts w:ascii="Arial" w:hAnsi="Arial"/>
          <w:b w:val="0"/>
          <w:i/>
          <w:color w:val="222244"/>
          <w:sz w:val="20"/>
        </w:rPr>
        <w:t>Words: Land, Territory, Ownership, Title, Deed, Heir, Inheritance, Ancestral, Sacred, Indigenous</w:t>
      </w:r>
    </w:p>
    <w:p>
      <w:pPr>
        <w:spacing w:before="0" w:after="80"/>
        <w:ind w:left="288"/>
        <w:jc w:val="both"/>
      </w:pPr>
      <w:r>
        <w:rPr>
          <w:rFonts w:ascii="Arial" w:hAnsi="Arial"/>
          <w:b w:val="0"/>
          <w:i w:val="0"/>
          <w:color w:val="000000"/>
          <w:sz w:val="21"/>
        </w:rPr>
        <w:t>The land and heritage words — the terms that govern the living being's relationship to the Earth and to ancestral memory.</w:t>
      </w:r>
    </w:p>
    <w:p>
      <w:pPr>
        <w:spacing w:before="160" w:after="40"/>
        <w:jc w:val="left"/>
      </w:pPr>
      <w:r>
        <w:rPr>
          <w:rFonts w:ascii="Arial" w:hAnsi="Arial"/>
          <w:b/>
          <w:i w:val="0"/>
          <w:color w:val="1A1A2E"/>
          <w:sz w:val="22"/>
        </w:rPr>
        <w:t>VOLUME FIVE (Scheduled)</w:t>
      </w:r>
    </w:p>
    <w:p>
      <w:pPr>
        <w:spacing w:before="0" w:after="40"/>
        <w:ind w:left="288"/>
        <w:jc w:val="both"/>
      </w:pPr>
      <w:r>
        <w:rPr>
          <w:rFonts w:ascii="Arial" w:hAnsi="Arial"/>
          <w:b w:val="0"/>
          <w:i/>
          <w:color w:val="222244"/>
          <w:sz w:val="20"/>
        </w:rPr>
        <w:t>Words: Religion, Belief, Conscience, Sincerity, Burden, Compelling, Accommodation, Exemption, Practice, Worship</w:t>
      </w:r>
    </w:p>
    <w:p>
      <w:pPr>
        <w:spacing w:before="0" w:after="80"/>
        <w:ind w:left="288"/>
        <w:jc w:val="both"/>
      </w:pPr>
      <w:r>
        <w:rPr>
          <w:rFonts w:ascii="Arial" w:hAnsi="Arial"/>
          <w:b w:val="0"/>
          <w:i w:val="0"/>
          <w:color w:val="000000"/>
          <w:sz w:val="21"/>
        </w:rPr>
        <w:t>The spiritual words — the terms that govern the protection of the living being's inner life from State interference.</w:t>
      </w:r>
    </w:p>
    <w:p>
      <w:pPr>
        <w:spacing w:before="160" w:after="40"/>
        <w:jc w:val="left"/>
      </w:pPr>
      <w:r>
        <w:rPr>
          <w:rFonts w:ascii="Arial" w:hAnsi="Arial"/>
          <w:b/>
          <w:i w:val="0"/>
          <w:color w:val="1A1A2E"/>
          <w:sz w:val="22"/>
        </w:rPr>
        <w:t>VOLUME SIX (Scheduled)</w:t>
      </w:r>
    </w:p>
    <w:p>
      <w:pPr>
        <w:spacing w:before="0" w:after="40"/>
        <w:ind w:left="288"/>
        <w:jc w:val="both"/>
      </w:pPr>
      <w:r>
        <w:rPr>
          <w:rFonts w:ascii="Arial" w:hAnsi="Arial"/>
          <w:b w:val="0"/>
          <w:i/>
          <w:color w:val="222244"/>
          <w:sz w:val="20"/>
        </w:rPr>
        <w:t>Words: Race, Discrimination, Prejudice, Disparity, Remedy, Reparation, Badge, Incident, Equality, Justice</w:t>
      </w:r>
    </w:p>
    <w:p>
      <w:pPr>
        <w:spacing w:before="0" w:after="80"/>
        <w:ind w:left="288"/>
        <w:jc w:val="both"/>
      </w:pPr>
      <w:r>
        <w:rPr>
          <w:rFonts w:ascii="Arial" w:hAnsi="Arial"/>
          <w:b w:val="0"/>
          <w:i w:val="0"/>
          <w:color w:val="000000"/>
          <w:sz w:val="21"/>
        </w:rPr>
        <w:t>The equity words — the terms through which the law addresses or fails to address the structural legacy of racial oppression.</w:t>
      </w:r>
    </w:p>
    <w:p>
      <w:pPr>
        <w:spacing w:before="160" w:after="40"/>
        <w:jc w:val="left"/>
      </w:pPr>
      <w:r>
        <w:rPr>
          <w:rFonts w:ascii="Arial" w:hAnsi="Arial"/>
          <w:b/>
          <w:i w:val="0"/>
          <w:color w:val="1A1A2E"/>
          <w:sz w:val="22"/>
        </w:rPr>
        <w:t>VOLUME SEVEN (Scheduled)</w:t>
      </w:r>
    </w:p>
    <w:p>
      <w:pPr>
        <w:spacing w:before="0" w:after="40"/>
        <w:ind w:left="288"/>
        <w:jc w:val="both"/>
      </w:pPr>
      <w:r>
        <w:rPr>
          <w:rFonts w:ascii="Arial" w:hAnsi="Arial"/>
          <w:b w:val="0"/>
          <w:i/>
          <w:color w:val="222244"/>
          <w:sz w:val="20"/>
        </w:rPr>
        <w:t>Words: Agency, Regulation, Deference, Authority, Ultra Vires, Mandate, Penalty, Notice, Hearing, Appeal</w:t>
      </w:r>
    </w:p>
    <w:p>
      <w:pPr>
        <w:spacing w:before="0" w:after="80"/>
        <w:ind w:left="288"/>
        <w:jc w:val="both"/>
      </w:pPr>
      <w:r>
        <w:rPr>
          <w:rFonts w:ascii="Arial" w:hAnsi="Arial"/>
          <w:b w:val="0"/>
          <w:i w:val="0"/>
          <w:color w:val="000000"/>
          <w:sz w:val="21"/>
        </w:rPr>
        <w:t>The administrative words — the terms that govern the living being's encounters with the regulatory State.</w:t>
      </w:r>
    </w:p>
    <w:p>
      <w:pPr>
        <w:spacing w:before="160" w:after="160"/>
        <w:jc w:val="center"/>
        <w:pBdr>
          <w:bottom w:val="single" w:sz="4" w:space="1" w:color="1a1a2e"/>
        </w:pBdr>
      </w:pPr>
    </w:p>
    <w:p>
      <w:pPr>
        <w:spacing w:before="320" w:after="80"/>
        <w:jc w:val="left"/>
        <w:pBdr>
          <w:bottom w:val="single" w:sz="4" w:space="1" w:color="1a1a2e"/>
        </w:pBdr>
      </w:pPr>
      <w:r>
        <w:rPr>
          <w:rFonts w:ascii="Arial" w:hAnsi="Arial"/>
          <w:b/>
          <w:i w:val="0"/>
          <w:color w:val="1A1A2E"/>
          <w:sz w:val="24"/>
        </w:rPr>
        <w:t>X. THE FOUNDING PRINCIPLES: WHAT THIS PROJECT WILL NEVER DO</w:t>
      </w:r>
    </w:p>
    <w:p>
      <w:pPr>
        <w:spacing w:before="0" w:after="120"/>
        <w:jc w:val="both"/>
      </w:pPr>
      <w:r>
        <w:rPr>
          <w:rFonts w:ascii="Arial" w:hAnsi="Arial"/>
          <w:b w:val="0"/>
          <w:i w:val="0"/>
          <w:color w:val="000000"/>
          <w:sz w:val="21"/>
        </w:rPr>
        <w:t>The Counter-Canon is defined as much by what it will not do as by what it does. These principles are permanent. No edition, no amendment, and no future development of the project may violate them.</w:t>
      </w:r>
    </w:p>
    <w:p>
      <w:pPr>
        <w:spacing w:before="140" w:after="40"/>
        <w:jc w:val="both"/>
      </w:pPr>
      <w:r>
        <w:rPr>
          <w:rFonts w:ascii="Arial" w:hAnsi="Arial"/>
          <w:b/>
          <w:i w:val="0"/>
          <w:color w:val="1A1A2E"/>
          <w:sz w:val="21"/>
        </w:rPr>
        <w:t>1.  The Counter-Canon will never misrepresent the dominant definition.</w:t>
      </w:r>
    </w:p>
    <w:p>
      <w:pPr>
        <w:spacing w:before="0" w:after="100"/>
        <w:ind w:left="432"/>
        <w:jc w:val="both"/>
      </w:pPr>
      <w:r>
        <w:rPr>
          <w:rFonts w:ascii="Arial" w:hAnsi="Arial"/>
          <w:b w:val="0"/>
          <w:i w:val="0"/>
          <w:color w:val="000000"/>
          <w:sz w:val="21"/>
        </w:rPr>
        <w:t>Every dominant definition is quoted accurately from authoritative sources. The Counter-Canon contests definitions honestly — by engaging with what they actually say, not by distorting them into easier targets. Intellectual honesty is a founding principle.</w:t>
      </w:r>
    </w:p>
    <w:p>
      <w:pPr>
        <w:spacing w:before="140" w:after="40"/>
        <w:jc w:val="both"/>
      </w:pPr>
      <w:r>
        <w:rPr>
          <w:rFonts w:ascii="Arial" w:hAnsi="Arial"/>
          <w:b/>
          <w:i w:val="0"/>
          <w:color w:val="1A1A2E"/>
          <w:sz w:val="21"/>
        </w:rPr>
        <w:t>2.  The Counter-Canon will never alter the Eternal Zone.</w:t>
      </w:r>
    </w:p>
    <w:p>
      <w:pPr>
        <w:spacing w:before="0" w:after="100"/>
        <w:ind w:left="432"/>
        <w:jc w:val="both"/>
      </w:pPr>
      <w:r>
        <w:rPr>
          <w:rFonts w:ascii="Arial" w:hAnsi="Arial"/>
          <w:b w:val="0"/>
          <w:i w:val="0"/>
          <w:color w:val="000000"/>
          <w:sz w:val="21"/>
        </w:rPr>
        <w:t>The Embedded Assumption is a historical fact. The Truth is a spiritual and natural fact. Neither is subject to legal revision. No case, no statute, and no editorial decision may change them. They are the anchor.</w:t>
      </w:r>
    </w:p>
    <w:p>
      <w:pPr>
        <w:spacing w:before="140" w:after="40"/>
        <w:jc w:val="both"/>
      </w:pPr>
      <w:r>
        <w:rPr>
          <w:rFonts w:ascii="Arial" w:hAnsi="Arial"/>
          <w:b/>
          <w:i w:val="0"/>
          <w:color w:val="1A1A2E"/>
          <w:sz w:val="21"/>
        </w:rPr>
        <w:t>3.  The Counter-Canon will never make unsupported legal assertions.</w:t>
      </w:r>
    </w:p>
    <w:p>
      <w:pPr>
        <w:spacing w:before="0" w:after="100"/>
        <w:ind w:left="432"/>
        <w:jc w:val="both"/>
      </w:pPr>
      <w:r>
        <w:rPr>
          <w:rFonts w:ascii="Arial" w:hAnsi="Arial"/>
          <w:b w:val="0"/>
          <w:i w:val="0"/>
          <w:color w:val="000000"/>
          <w:sz w:val="21"/>
        </w:rPr>
        <w:t>Every counter-definition is grounded in the law's own language. Every authority citation is real, accurate, and relevant. Nothing in the Counter-Canon is invented. If the law does not support the counter-definition, the counter-definition is not published until the law does.</w:t>
      </w:r>
    </w:p>
    <w:p>
      <w:pPr>
        <w:spacing w:before="140" w:after="40"/>
        <w:jc w:val="both"/>
      </w:pPr>
      <w:r>
        <w:rPr>
          <w:rFonts w:ascii="Arial" w:hAnsi="Arial"/>
          <w:b/>
          <w:i w:val="0"/>
          <w:color w:val="1A1A2E"/>
          <w:sz w:val="21"/>
        </w:rPr>
        <w:t>4.  The Counter-Canon will never advocate for the rejection of law.</w:t>
      </w:r>
    </w:p>
    <w:p>
      <w:pPr>
        <w:spacing w:before="0" w:after="100"/>
        <w:ind w:left="432"/>
        <w:jc w:val="both"/>
      </w:pPr>
      <w:r>
        <w:rPr>
          <w:rFonts w:ascii="Arial" w:hAnsi="Arial"/>
          <w:b w:val="0"/>
          <w:i w:val="0"/>
          <w:color w:val="000000"/>
          <w:sz w:val="21"/>
        </w:rPr>
        <w:t>The Counter-Canon is a demand that the law honor its own highest stated principles. It operates within the law to hold the law accountable. It is not a rejection of legal authority. It is a demand for legal integrity.</w:t>
      </w:r>
    </w:p>
    <w:p>
      <w:pPr>
        <w:spacing w:before="140" w:after="40"/>
        <w:jc w:val="both"/>
      </w:pPr>
      <w:r>
        <w:rPr>
          <w:rFonts w:ascii="Arial" w:hAnsi="Arial"/>
          <w:b/>
          <w:i w:val="0"/>
          <w:color w:val="1A1A2E"/>
          <w:sz w:val="21"/>
        </w:rPr>
        <w:t>5.  The Counter-Canon will never charge for access.</w:t>
      </w:r>
    </w:p>
    <w:p>
      <w:pPr>
        <w:spacing w:before="0" w:after="100"/>
        <w:ind w:left="432"/>
        <w:jc w:val="both"/>
      </w:pPr>
      <w:r>
        <w:rPr>
          <w:rFonts w:ascii="Arial" w:hAnsi="Arial"/>
          <w:b w:val="0"/>
          <w:i w:val="0"/>
          <w:color w:val="000000"/>
          <w:sz w:val="21"/>
        </w:rPr>
        <w:t>The living beings who most need this work are those who have been most systematically excluded from economic opportunity. A paywall between them and the legal language being used against them serves the system. The Counter-Canon serves the living being. It is and will always be free.</w:t>
      </w:r>
    </w:p>
    <w:p>
      <w:pPr>
        <w:spacing w:before="140" w:after="40"/>
        <w:jc w:val="both"/>
      </w:pPr>
      <w:r>
        <w:rPr>
          <w:rFonts w:ascii="Arial" w:hAnsi="Arial"/>
          <w:b/>
          <w:i w:val="0"/>
          <w:color w:val="1A1A2E"/>
          <w:sz w:val="21"/>
        </w:rPr>
        <w:t>6.  The Counter-Canon will never publish without editorial review.</w:t>
      </w:r>
    </w:p>
    <w:p>
      <w:pPr>
        <w:spacing w:before="0" w:after="100"/>
        <w:ind w:left="432"/>
        <w:jc w:val="both"/>
      </w:pPr>
      <w:r>
        <w:rPr>
          <w:rFonts w:ascii="Arial" w:hAnsi="Arial"/>
          <w:b w:val="0"/>
          <w:i w:val="0"/>
          <w:color w:val="000000"/>
          <w:sz w:val="21"/>
        </w:rPr>
        <w:t>The AI analyzes. The author decides. No amendment, no matter how well-supported by the AI's analysis, is published without human editorial approval. The author's judgment is the final filter between the engine and the published word.</w:t>
      </w:r>
    </w:p>
    <w:p>
      <w:pPr>
        <w:spacing w:before="140" w:after="40"/>
        <w:jc w:val="both"/>
      </w:pPr>
      <w:r>
        <w:rPr>
          <w:rFonts w:ascii="Arial" w:hAnsi="Arial"/>
          <w:b/>
          <w:i w:val="0"/>
          <w:color w:val="1A1A2E"/>
          <w:sz w:val="21"/>
        </w:rPr>
        <w:t>7.  The Counter-Canon will never stop.</w:t>
      </w:r>
    </w:p>
    <w:p>
      <w:pPr>
        <w:spacing w:before="0" w:after="100"/>
        <w:ind w:left="432"/>
        <w:jc w:val="both"/>
      </w:pPr>
      <w:r>
        <w:rPr>
          <w:rFonts w:ascii="Arial" w:hAnsi="Arial"/>
          <w:b w:val="0"/>
          <w:i w:val="0"/>
          <w:color w:val="000000"/>
          <w:sz w:val="21"/>
        </w:rPr>
        <w:t>The law will continue to evolve. The language will continue to be contested. The living being will continue to need tools to navigate both. The Counter-Canon is a permanent project. It does not have an end date. It has an amendment record that grows until the truth the dominant definitions suppressed is fully visible in the law itself.</w:t>
      </w:r>
    </w:p>
    <w:p>
      <w:pPr>
        <w:spacing w:before="160" w:after="160"/>
        <w:jc w:val="center"/>
        <w:pBdr>
          <w:bottom w:val="single" w:sz="4" w:space="1" w:color="1a1a2e"/>
        </w:pBdr>
      </w:pPr>
    </w:p>
    <w:p>
      <w:r>
        <w:br w:type="page"/>
      </w:r>
    </w:p>
    <w:p>
      <w:pPr>
        <w:spacing w:before="0" w:after="160"/>
        <w:jc w:val="center"/>
      </w:pPr>
      <w:r>
        <w:rPr>
          <w:rFonts w:ascii="Arial" w:hAnsi="Arial"/>
          <w:b/>
          <w:i w:val="0"/>
          <w:color w:val="1A1A2E"/>
          <w:sz w:val="22"/>
        </w:rPr>
        <w:t>FOUNDING STATEMENT</w:t>
      </w:r>
    </w:p>
    <w:p>
      <w:pPr>
        <w:spacing w:before="0" w:after="120"/>
        <w:jc w:val="both"/>
      </w:pPr>
      <w:r>
        <w:rPr>
          <w:rFonts w:ascii="Arial" w:hAnsi="Arial"/>
          <w:b w:val="0"/>
          <w:i w:val="0"/>
          <w:color w:val="000000"/>
          <w:sz w:val="21"/>
        </w:rPr>
        <w:t>The Counter-Canon begins with a truth that no legal dictionary has ever stated: the definitions are not neutral. They were written by people with power and interests. They embedded those interests in the language of law. And they have been applied, for centuries, against living beings who had no equivalent tool to contest them.</w:t>
      </w:r>
    </w:p>
    <w:p>
      <w:pPr>
        <w:spacing w:before="0" w:after="120"/>
        <w:jc w:val="both"/>
      </w:pPr>
      <w:r>
        <w:rPr>
          <w:rFonts w:ascii="Arial" w:hAnsi="Arial"/>
          <w:b w:val="0"/>
          <w:i w:val="0"/>
          <w:color w:val="000000"/>
          <w:sz w:val="21"/>
        </w:rPr>
        <w:t>The Counter-Canon is that tool. It is built from the law's own language. It is powered by the most advanced AI available. It is sustained by the author's commitment to a project that has no end date. And it is given freely to every living being who needs it.</w:t>
      </w:r>
    </w:p>
    <w:p>
      <w:pPr>
        <w:spacing w:before="0" w:after="280"/>
        <w:jc w:val="both"/>
      </w:pPr>
      <w:r>
        <w:rPr>
          <w:rFonts w:ascii="Arial" w:hAnsi="Arial"/>
          <w:b w:val="0"/>
          <w:i w:val="0"/>
          <w:color w:val="000000"/>
          <w:sz w:val="21"/>
        </w:rPr>
        <w:t>Nothing is absolute but Truth. This project finds it — in the law's own words, in its own cases, in its own highest stated principles — and makes it visible. One word at a time. One edition at a time. For as long as the work requires.</w:t>
      </w:r>
    </w:p>
    <w:p>
      <w:pPr>
        <w:spacing w:before="80" w:after="40"/>
        <w:jc w:val="center"/>
      </w:pPr>
      <w:r>
        <w:rPr>
          <w:rFonts w:ascii="Arial" w:hAnsi="Arial"/>
          <w:b/>
          <w:i w:val="0"/>
          <w:color w:val="1A1A2E"/>
          <w:sz w:val="24"/>
        </w:rPr>
        <w:t>Rickey Allan Howard</w:t>
      </w:r>
    </w:p>
    <w:p>
      <w:pPr>
        <w:spacing w:before="0" w:after="40"/>
        <w:jc w:val="center"/>
      </w:pPr>
      <w:r>
        <w:rPr>
          <w:rFonts w:ascii="Arial" w:hAnsi="Arial"/>
          <w:b w:val="0"/>
          <w:i w:val="0"/>
          <w:color w:val="555577"/>
          <w:sz w:val="20"/>
        </w:rPr>
        <w:t>Athens, Georgia  |  2026</w:t>
      </w:r>
    </w:p>
    <w:p>
      <w:pPr>
        <w:spacing w:before="0" w:after="40"/>
        <w:jc w:val="center"/>
      </w:pPr>
      <w:r>
        <w:rPr>
          <w:rFonts w:ascii="Arial" w:hAnsi="Arial"/>
          <w:b w:val="0"/>
          <w:i/>
          <w:color w:val="222244"/>
          <w:sz w:val="20"/>
        </w:rPr>
        <w:t>Founder, The Counter-Canon Project</w:t>
      </w:r>
    </w:p>
    <w:p>
      <w:pPr>
        <w:spacing w:before="0" w:after="40"/>
        <w:jc w:val="center"/>
      </w:pPr>
      <w:r>
        <w:rPr>
          <w:rFonts w:ascii="Arial" w:hAnsi="Arial"/>
          <w:b w:val="0"/>
          <w:i/>
          <w:color w:val="555577"/>
          <w:sz w:val="18"/>
        </w:rPr>
        <w:t>Author: The Sovereign Self: Reclaiming Divine Intent in Law and Governance</w:t>
      </w:r>
    </w:p>
    <w:p>
      <w:pPr>
        <w:spacing w:before="0" w:after="160"/>
        <w:jc w:val="center"/>
      </w:pPr>
      <w:r>
        <w:rPr>
          <w:rFonts w:ascii="Arial" w:hAnsi="Arial"/>
          <w:b w:val="0"/>
          <w:i/>
          <w:color w:val="555577"/>
          <w:sz w:val="18"/>
        </w:rPr>
        <w:t>The Doctrine of Pre-Political Sovereign Being</w:t>
      </w:r>
    </w:p>
    <w:p>
      <w:pPr>
        <w:spacing w:before="80" w:after="80"/>
        <w:jc w:val="center"/>
        <w:pBdr>
          <w:bottom w:val="single" w:sz="2" w:space="1" w:color="1a1a2e"/>
        </w:pBdr>
      </w:pPr>
    </w:p>
    <w:p>
      <w:pPr>
        <w:spacing w:before="40" w:after="0"/>
        <w:jc w:val="center"/>
      </w:pPr>
      <w:r>
        <w:rPr>
          <w:rFonts w:ascii="Arial" w:hAnsi="Arial"/>
          <w:b w:val="0"/>
          <w:i/>
          <w:color w:val="555577"/>
          <w:sz w:val="21"/>
        </w:rPr>
        <w:t>Copyright 2026 Rickey Allan Howard. All rights reserved. Free reproduction permitted for non-commercial use with attribution.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