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36"/>
        </w:rPr>
        <w:t>THE COUNTER-CANON</w:t>
      </w:r>
    </w:p>
    <w:p>
      <w:pPr>
        <w:spacing w:before="0" w:after="40"/>
        <w:jc w:val="center"/>
      </w:pPr>
      <w:r>
        <w:rPr>
          <w:rFonts w:ascii="Arial" w:hAnsi="Arial"/>
          <w:b w:val="0"/>
          <w:i/>
          <w:color w:val="222244"/>
          <w:sz w:val="26"/>
        </w:rPr>
        <w:t>A Dictionary of Living Law</w:t>
      </w:r>
    </w:p>
    <w:p>
      <w:pPr>
        <w:spacing w:before="120" w:after="120"/>
        <w:jc w:val="center"/>
        <w:pBdr>
          <w:bottom w:val="single" w:sz="10" w:space="1" w:color="1a1a2e"/>
        </w:pBdr>
      </w:pPr>
    </w:p>
    <w:p>
      <w:pPr>
        <w:spacing w:before="80" w:after="40"/>
        <w:jc w:val="center"/>
      </w:pPr>
      <w:r>
        <w:rPr>
          <w:rFonts w:ascii="Arial" w:hAnsi="Arial"/>
          <w:b/>
          <w:i w:val="0"/>
          <w:color w:val="1A1A2E"/>
          <w:sz w:val="24"/>
        </w:rPr>
        <w:t>VOLUME THREE</w:t>
      </w:r>
    </w:p>
    <w:p>
      <w:pPr>
        <w:spacing w:before="0" w:after="40"/>
        <w:jc w:val="center"/>
      </w:pPr>
      <w:r>
        <w:rPr>
          <w:rFonts w:ascii="Arial" w:hAnsi="Arial"/>
          <w:b w:val="0"/>
          <w:i w:val="0"/>
          <w:color w:val="555577"/>
          <w:sz w:val="22"/>
        </w:rPr>
        <w:t>A  |  D  |  F  |  P  |  R  |  S  |  W</w:t>
      </w:r>
    </w:p>
    <w:p>
      <w:pPr>
        <w:spacing w:before="0" w:after="20"/>
        <w:jc w:val="center"/>
      </w:pPr>
      <w:r>
        <w:rPr>
          <w:rFonts w:ascii="Arial" w:hAnsi="Arial"/>
          <w:b w:val="0"/>
          <w:i/>
          <w:color w:val="222244"/>
          <w:sz w:val="20"/>
        </w:rPr>
        <w:t>Arrest  |  Detention  |  Force  |  Probable Cause  |  Reasonable Suspicion</w:t>
      </w:r>
    </w:p>
    <w:p>
      <w:pPr>
        <w:spacing w:before="0" w:after="160"/>
        <w:jc w:val="center"/>
      </w:pPr>
      <w:r>
        <w:rPr>
          <w:rFonts w:ascii="Arial" w:hAnsi="Arial"/>
          <w:b w:val="0"/>
          <w:i/>
          <w:color w:val="222244"/>
          <w:sz w:val="20"/>
        </w:rPr>
        <w:t>Resistance  |  Search  |  Seizure  |  Stop  |  Warrant</w:t>
      </w:r>
    </w:p>
    <w:p>
      <w:pPr>
        <w:spacing w:before="8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  |  First Edition</w:t>
      </w:r>
    </w:p>
    <w:p>
      <w:pPr>
        <w:spacing w:before="0" w:after="40"/>
        <w:jc w:val="center"/>
      </w:pPr>
      <w:r>
        <w:rPr>
          <w:rFonts w:ascii="Arial" w:hAnsi="Arial"/>
          <w:b/>
          <w:i/>
          <w:color w:val="004D4D"/>
          <w:sz w:val="18"/>
        </w:rPr>
        <w:t>The Enforcement Words</w:t>
      </w:r>
    </w:p>
    <w:p>
      <w:pPr>
        <w:spacing w:before="0" w:after="160"/>
        <w:jc w:val="center"/>
      </w:pPr>
      <w:r>
        <w:rPr>
          <w:rFonts w:ascii="Arial" w:hAnsi="Arial"/>
          <w:b w:val="0"/>
          <w:i/>
          <w:color w:val="555577"/>
          <w:sz w:val="18"/>
        </w:rPr>
        <w:t>Open Access  |  Claude API Powered  |  Amendment Record Architecture</w:t>
      </w:r>
    </w:p>
    <w:p>
      <w:r>
        <w:br w:type="page"/>
      </w:r>
    </w:p>
    <w:p>
      <w:pPr>
        <w:spacing w:before="0" w:after="120"/>
        <w:jc w:val="center"/>
      </w:pPr>
      <w:r>
        <w:rPr>
          <w:rFonts w:ascii="Arial" w:hAnsi="Arial"/>
          <w:b/>
          <w:i w:val="0"/>
          <w:color w:val="1A1A2E"/>
          <w:sz w:val="22"/>
        </w:rPr>
        <w:t>EDITOR'S NOTE: VOLUME THREE</w:t>
      </w:r>
    </w:p>
    <w:p>
      <w:pPr>
        <w:spacing w:before="0" w:after="120"/>
        <w:jc w:val="both"/>
      </w:pPr>
      <w:r>
        <w:rPr>
          <w:rFonts w:ascii="Arial" w:hAnsi="Arial"/>
          <w:b w:val="0"/>
          <w:i w:val="0"/>
          <w:color w:val="000000"/>
          <w:sz w:val="21"/>
        </w:rPr>
        <w:t>Volume Three enters the most immediate territory of the entire Counter-Canon. These are not abstract legal concepts. They are the words that describe what happens when the State's physical power meets the living being's physical body. Arrest. Detention. Force. Search. Seizure. Stop. Warrant. These words govern encounters that happen in seconds and carry consequences that last lifetimes. For the living being of African descent, they describe the most dangerous dimension of the relationship with the State — the dimension where racial bias in the legal system is most lethal.</w:t>
      </w:r>
    </w:p>
    <w:p>
      <w:pPr>
        <w:spacing w:before="0" w:after="120"/>
        <w:jc w:val="both"/>
      </w:pPr>
      <w:r>
        <w:rPr>
          <w:rFonts w:ascii="Arial" w:hAnsi="Arial"/>
          <w:b w:val="0"/>
          <w:i w:val="0"/>
          <w:color w:val="000000"/>
          <w:sz w:val="21"/>
        </w:rPr>
        <w:t>But these words also carry the most complete set of constitutional protections the American legal system has ever written. The Fourth Amendment, the Fifth Amendment, the Sixth Amendment, the Fourteenth Amendment, the exclusionary rule, the fruit of the poisonous tree doctrine, the probable cause requirement, the warrant requirement and its exceptions — these are the law's most specific, most detailed, and most enforceable constraints on State power over the living being's body. Volume Three finds every one of them. It finds what they actually require. It names what the system has tried to erode. And it places the Truth at the bottom of each entry that no enforcement action can reach.</w:t>
      </w:r>
    </w:p>
    <w:p>
      <w:pPr>
        <w:spacing w:before="0" w:after="200"/>
        <w:jc w:val="center"/>
      </w:pPr>
      <w:r>
        <w:rPr>
          <w:rFonts w:ascii="Arial" w:hAnsi="Arial"/>
          <w:b w:val="0"/>
          <w:i/>
          <w:color w:val="222244"/>
          <w:sz w:val="21"/>
        </w:rPr>
        <w:t>Volume Three is a field manual written in the language of the law.</w:t>
      </w:r>
    </w:p>
    <w:p>
      <w:pPr>
        <w:spacing w:before="80" w:after="40"/>
        <w:jc w:val="right"/>
      </w:pPr>
      <w:r>
        <w:rPr>
          <w:rFonts w:ascii="Arial" w:hAnsi="Arial"/>
          <w:b/>
          <w:i w:val="0"/>
          <w:color w:val="1A1A2E"/>
          <w:sz w:val="21"/>
        </w:rPr>
        <w:t>Rickey Allan Howard</w:t>
      </w:r>
    </w:p>
    <w:p>
      <w:pPr>
        <w:spacing w:before="0" w:after="120"/>
        <w:jc w:val="right"/>
      </w:pPr>
      <w:r>
        <w:rPr>
          <w:rFonts w:ascii="Arial" w:hAnsi="Arial"/>
          <w:b w:val="0"/>
          <w:i/>
          <w:color w:val="555577"/>
          <w:sz w:val="21"/>
        </w:rPr>
        <w:t>Athens, Georgia | 2026</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A  —  Arrest</w:t>
      </w:r>
    </w:p>
    <w:p>
      <w:pPr>
        <w:spacing w:before="40" w:after="40"/>
        <w:ind w:left="288"/>
        <w:jc w:val="left"/>
      </w:pPr>
      <w:r>
        <w:rPr>
          <w:rFonts w:ascii="Arial" w:hAnsi="Arial"/>
          <w:b w:val="0"/>
          <w:i w:val="0"/>
          <w:color w:val="000000"/>
          <w:sz w:val="21"/>
        </w:rPr>
        <w:t>D  —  Detention</w:t>
      </w:r>
    </w:p>
    <w:p>
      <w:pPr>
        <w:spacing w:before="40" w:after="40"/>
        <w:ind w:left="288"/>
        <w:jc w:val="left"/>
      </w:pPr>
      <w:r>
        <w:rPr>
          <w:rFonts w:ascii="Arial" w:hAnsi="Arial"/>
          <w:b w:val="0"/>
          <w:i w:val="0"/>
          <w:color w:val="000000"/>
          <w:sz w:val="21"/>
        </w:rPr>
        <w:t>F  —  Force  (Use of Force / Excessive Force)</w:t>
      </w:r>
    </w:p>
    <w:p>
      <w:pPr>
        <w:spacing w:before="40" w:after="40"/>
        <w:ind w:left="288"/>
        <w:jc w:val="left"/>
      </w:pPr>
      <w:r>
        <w:rPr>
          <w:rFonts w:ascii="Arial" w:hAnsi="Arial"/>
          <w:b w:val="0"/>
          <w:i w:val="0"/>
          <w:color w:val="000000"/>
          <w:sz w:val="21"/>
        </w:rPr>
        <w:t>P  —  Probable Cause</w:t>
      </w:r>
    </w:p>
    <w:p>
      <w:pPr>
        <w:spacing w:before="40" w:after="40"/>
        <w:ind w:left="288"/>
        <w:jc w:val="left"/>
      </w:pPr>
      <w:r>
        <w:rPr>
          <w:rFonts w:ascii="Arial" w:hAnsi="Arial"/>
          <w:b w:val="0"/>
          <w:i w:val="0"/>
          <w:color w:val="000000"/>
          <w:sz w:val="21"/>
        </w:rPr>
        <w:t>R  —  Reasonable Suspicion</w:t>
      </w:r>
    </w:p>
    <w:p>
      <w:pPr>
        <w:spacing w:before="40" w:after="40"/>
        <w:ind w:left="288"/>
        <w:jc w:val="left"/>
      </w:pPr>
      <w:r>
        <w:rPr>
          <w:rFonts w:ascii="Arial" w:hAnsi="Arial"/>
          <w:b w:val="0"/>
          <w:i w:val="0"/>
          <w:color w:val="000000"/>
          <w:sz w:val="21"/>
        </w:rPr>
        <w:t>R  —  Resistance</w:t>
      </w:r>
    </w:p>
    <w:p>
      <w:pPr>
        <w:spacing w:before="40" w:after="40"/>
        <w:ind w:left="288"/>
        <w:jc w:val="left"/>
      </w:pPr>
      <w:r>
        <w:rPr>
          <w:rFonts w:ascii="Arial" w:hAnsi="Arial"/>
          <w:b w:val="0"/>
          <w:i w:val="0"/>
          <w:color w:val="000000"/>
          <w:sz w:val="21"/>
        </w:rPr>
        <w:t>S  —  Search</w:t>
      </w:r>
    </w:p>
    <w:p>
      <w:pPr>
        <w:spacing w:before="40" w:after="40"/>
        <w:ind w:left="288"/>
        <w:jc w:val="left"/>
      </w:pPr>
      <w:r>
        <w:rPr>
          <w:rFonts w:ascii="Arial" w:hAnsi="Arial"/>
          <w:b w:val="0"/>
          <w:i w:val="0"/>
          <w:color w:val="000000"/>
          <w:sz w:val="21"/>
        </w:rPr>
        <w:t>S  —  Seizure</w:t>
      </w:r>
    </w:p>
    <w:p>
      <w:pPr>
        <w:spacing w:before="40" w:after="40"/>
        <w:ind w:left="288"/>
        <w:jc w:val="left"/>
      </w:pPr>
      <w:r>
        <w:rPr>
          <w:rFonts w:ascii="Arial" w:hAnsi="Arial"/>
          <w:b w:val="0"/>
          <w:i w:val="0"/>
          <w:color w:val="000000"/>
          <w:sz w:val="21"/>
        </w:rPr>
        <w:t>S  —  Stop</w:t>
      </w:r>
    </w:p>
    <w:p>
      <w:pPr>
        <w:spacing w:before="40" w:after="40"/>
        <w:ind w:left="288"/>
        <w:jc w:val="left"/>
      </w:pPr>
      <w:r>
        <w:rPr>
          <w:rFonts w:ascii="Arial" w:hAnsi="Arial"/>
          <w:b w:val="0"/>
          <w:i w:val="0"/>
          <w:color w:val="000000"/>
          <w:sz w:val="21"/>
        </w:rPr>
        <w:t>W  —  Warrant</w:t>
      </w:r>
    </w:p>
    <w:p>
      <w:pPr>
        <w:spacing w:before="40" w:after="40"/>
        <w:ind w:left="288"/>
        <w:jc w:val="left"/>
      </w:pPr>
      <w:r>
        <w:rPr>
          <w:rFonts w:ascii="Arial" w:hAnsi="Arial"/>
          <w:b w:val="0"/>
          <w:i w:val="0"/>
          <w:color w:val="000000"/>
          <w:sz w:val="21"/>
        </w:rPr>
        <w:t>Amendment Record</w:t>
      </w:r>
    </w:p>
    <w:p>
      <w:pPr>
        <w:spacing w:before="40" w:after="40"/>
        <w:ind w:left="288"/>
        <w:jc w:val="left"/>
      </w:pPr>
      <w:r>
        <w:rPr>
          <w:rFonts w:ascii="Arial" w:hAnsi="Arial"/>
          <w:b w:val="0"/>
          <w:i w:val="0"/>
          <w:color w:val="000000"/>
          <w:sz w:val="21"/>
        </w:rPr>
        <w:t>Table of Authorities</w:t>
      </w:r>
    </w:p>
    <w:p>
      <w:r>
        <w:br w:type="page"/>
      </w:r>
    </w:p>
    <w:p>
      <w:r>
        <w:br w:type="page"/>
      </w:r>
    </w:p>
    <w:p>
      <w:pPr>
        <w:spacing w:before="0" w:after="80"/>
        <w:jc w:val="center"/>
      </w:pPr>
      <w:r>
        <w:rPr>
          <w:rFonts w:ascii="Arial" w:hAnsi="Arial"/>
          <w:b/>
          <w:i w:val="0"/>
          <w:color w:val="1A1A2E"/>
          <w:sz w:val="72"/>
        </w:rPr>
        <w:t>A</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ARREST</w:t>
      </w:r>
      <w:r>
        <w:rPr>
          <w:rFonts w:ascii="Arial" w:hAnsi="Arial"/>
          <w:b w:val="0"/>
          <w:i/>
          <w:color w:val="555577"/>
          <w:sz w:val="20"/>
        </w:rPr>
        <w:t xml:space="preserve">  (noun / verb)</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taking or keeping of a person in custody by legal authority, especially in response to a criminal charge. The seizure and detention of a person. A lawful arrest requires probable cause to believe that the person arrested has committed or is committing a crime.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arrest presents it as a legal act — something that occurs when proper authority is exercised for proper cause. The history of arrest in America tells a different story. The arrest power has been one of the primary mechanisms through which racial control has been exercised across every era of American history. Under the Black Codes, arrest for vagrancy — the crime of being unemployed or not under a labor contract — was used to re-enslave the formerly enslaved through convict leasing. During Jim Crow, arrest was used to punish civil rights protesters for exercising constitutional rights. In the modern era, racially disparate arrest rates for identical conduct are among the most thoroughly documented phenomena in American criminology. The embedded assumption that arrest is a neutral legal act triggered by legal cause erases this history and the structural reality it represents. An arrest is only as legitimate as the cause that produced it and the process that follows it.</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lawful arrest is a narrowly defined deprivation of the living being's most fundamental right — the right to physical liberty — that the Constitution permits only under specific, demanding conditions. An arrest without a warrant requires probable cause: a reasonable belief, based on articulable facts, that the specific individual has committed a specific crime. Dunaway v. New York, 442 U.S. 200 (1979). Probable cause is an objective standard — it requires more than a hunch, more than a profile, and more than racial suspicion. Brinegar v. United States, 338 U.S. 160 (1949). An arrest made without probable cause is not merely procedurally defective — it is a constitutional violation that triggers the exclusionary rule, potential civil liability under 42 U.S.C. section 1983, and federal criminal exposure under 18 U.S.C. section 242. An arrest made on the basis of race rather than individualized probable cause violates both the Fourth and Fourteenth Amendments. And any arrest that functions as a mechanism of racial control — as a continuation of the documented pattern of using the criminal justice system to subordinate Black Americans — implicates the Thirteenth Amendment's prohibition on badges and incidents of slavery.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Dunaway v. New York, 442 U.S. 200 (1979): arrest without probable cause violates Fourth Amendment. Brinegar v. United States, 338 U.S. 160 (1949): probable cause standard defined. Beck v. Ohio, 379 U.S. 89 (1964): probable cause requires more than suspicion. United States v. Armstrong, 517 U.S. 456 (1996): selective prosecution/arrest on racial basis. 42 U.S.C. section 1983: civil remedy for unlawful arrest. 18 U.S.C. section 242: criminal liability for willful deprivation of rights under color of law. U.S. Const. amend. IV, XIV. Jones v. Alfred H. Mayer Co., 392 U.S. 409 (1968): racially targeted arrest as badge and incident of slavery.</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arrested without a warrant, you have the right to know the basis for probable cause. If that basis is race, profile, or general suspicion rather than specific articulable facts, the arrest is unlawful and everything that flows from it — any search, any statement, any evidence — may be suppressed. Document the circumstances of every arrest. The facts at the moment of arrest determine the constitutional validity of everything that follows.</w:t>
      </w:r>
    </w:p>
    <w:p>
      <w:pPr>
        <w:spacing w:before="120" w:after="120"/>
        <w:ind w:left="432" w:right="432"/>
        <w:jc w:val="center"/>
      </w:pPr>
      <w:r>
        <w:rPr>
          <w:rFonts w:ascii="Arial" w:hAnsi="Arial"/>
          <w:b w:val="0"/>
          <w:i/>
          <w:color w:val="7A5C00"/>
          <w:sz w:val="22"/>
        </w:rPr>
        <w:t>The power to take a person's body is the most serious power the State possesses. It requires the most serious justification. A badge is not justification. A hunch is not justification. A person's race is not justification. Only facts are justification.</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D</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DETENTION</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act of keeping a person in custody; confinement or compulsory delay. The holding of a person against their will. In criminal procedure, a brief investigative detention — a Terry stop — requires only reasonable suspicion, a lower standard than probable cause.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detention normalizes the brief investigative stop as a routine and relatively minor intrusion — something that requires only reasonable suspicion rather than the higher standard of probable cause. This framing obscures the lived reality of detention for Black Americans. Being stopped, questioned, and held by law enforcement — even briefly — is not a minor event. It carries the history of every such encounter that preceded it. It occurs against the backdrop of a documented pattern of racially motivated stops that has been litigated, studied, and confirmed in city after city. The dominant definition treats the Terry stop as a carefully calibrated constitutional tool. In practice, the Terry stop has been used as a mechanism of mass surveillance and racial control, most notoriously in New York City's stop-and-frisk program, which a federal court found to be unconstitutional racial profiling. Floyd v. City of New York, 959 F. Supp. 2d 540 (S.D.N.Y. 2013).</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Detention is a seizure of the person within the meaning of the Fourth Amendment — a deprivation of physical liberty that requires specific legal justification regardless of its duration. Even a brief investigative detention requires reasonable suspicion that is specific to the individual being detained, articulable in terms of specific observed facts, and race-neutral in its basis. Terry v. Ohio, 392 U.S. 1 (1968), while permitting investigative stops on less than probable cause, imposed genuine requirements: the officer must be able to point to specific and articulable facts which, taken together with rational inferences, reasonably warrant the intrusion. General descriptions, racial profiles, neighborhood associations, and hunches do not satisfy this standard. Illinois v. Wardlow, 528 U.S. 119 (2000). Any detention that extends beyond its original justification — that is prolonged to allow additional investigation not supported by the original basis — becomes an unlawful detention. Rodriguez v. United States, 575 U.S. 348 (2015). And a pattern of racially motivated detentions, even if each individual detention is individually justified on paper, constitutes a systemic equal protection violation cognizable as a badge and incident of slavery under the Thirteenth Amendment.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Terry v. Ohio, 392 U.S. 1 (1968): investigative stop requirements. Rodriguez v. United States, 575 U.S. 348 (2015): detention may not extend beyond original basis. Illinois v. Wardlow, 528 U.S. 119 (2000): flight and high-crime area insufficient alone for reasonable suspicion. Floyd v. City of New York, 959 F. Supp. 2d 540 (S.D.N.Y. 2013): stop-and-frisk as unconstitutional racial profiling. Florida v. Bostick, 501 U.S. 429 (1991): a person not free to leave is detained. U.S. Const. amend. IV, XIV. ICCPR, Article 9: no one shall be subjected to arbitrary detention.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moment you are not free to leave you are detained and the Fourth Amendment applies fully. The officer must be able to articulate specific facts — not race, not neighborhood, not a hunch — that justify the detention. The detention must not extend beyond its original justification. Ask clearly: Am I free to go? If no, invoke your rights immediately and document everything after the encounter.</w:t>
      </w:r>
    </w:p>
    <w:p>
      <w:pPr>
        <w:spacing w:before="120" w:after="120"/>
        <w:ind w:left="432" w:right="432"/>
        <w:jc w:val="center"/>
      </w:pPr>
      <w:r>
        <w:rPr>
          <w:rFonts w:ascii="Arial" w:hAnsi="Arial"/>
          <w:b w:val="0"/>
          <w:i/>
          <w:color w:val="7A5C00"/>
          <w:sz w:val="22"/>
        </w:rPr>
        <w:t>Brief does not mean harmless. Brief does not mean lawful. Every moment a person is held without justification is a moment the State has stolen from the living being. Time is not recoverable. Rights violations are not minor because they are short.</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F</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FORCE</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Power, violence, compulsion, or constraint exerted upon or against a person or thing. In law enforcement, the amount of effort required by police to compel compliance from an unwilling subject. Deadly force means force likely to cause death or serious bodily injury. The use of force by law enforcement is governed by the Fourth Amendment's objective reasonableness standard.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force in law enforcement contexts treats it as a technical matter — a calibrated response measured against an objective reasonableness standard. This framing converts the State's application of physical violence against the living being into an administrative calculation. It erases the specific history of State violence against Black bodies in America: the lynchings conducted with law enforcement participation or acquiescence, the fire hoses and police dogs turned on civil rights marchers, the documented pattern of excessive force in the policing of Black communities that culminated in a national reckoning in 2020. The objective reasonableness standard of Graham v. Connor, 490 U.S. 396 (1989), was interpreted for decades in ways that gave enormous deference to officer judgment — making it extremely difficult to establish that force was constitutionally excessive. The embedded assumption is that force applied by State actors is presumptively reasonable unless proven otherwise. For Black Americans, that presumption has meant that their deaths at the hands of law enforcement have been systemically treated as reasonable until proven otherwise — a presumption that inverts the Constitution's protection of life.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Force applied by the State against the living being is presumptively suspect and requires affirmative constitutional justification. The Fourth Amendment protects the living being against unreasonable seizures — and the application of physical force is a seizure of the most serious kind. Graham v. Connor, 490 U.S. 396 (1989), established that excessive force claims are analyzed under the Fourth Amendment's objective reasonableness standard, considering the severity of the crime, whether the suspect poses an immediate threat, and whether the suspect is resisting or fleeing. Tennessee v. Garner, 471 U.S. 1 (1985), held that deadly force may not be used against a fleeing suspect who poses no immediate threat — establishing that the right to life constrains the use of force even in pursuit of a legitimate law enforcement objective. The living being's body is a sacred biological electromagnetic system — a divine vessel whose integrity is protected by the First Amendment and RFRA as a matter of sincere religious belief — as well as by the Fourth and Fourteenth Amendments as a matter of constitutional law. Excessive force against the living being is a constitutional violation, a potential federal crime under 18 U.S.C. section 242, a civil rights violation under 42 U.S.C. section 1983, and a substantial burden on the sincerely held belief in the sacred inviolability of the body.</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Graham v. Connor, 490 U.S. 396 (1989): objective reasonableness standard for excessive force. Tennessee v. Garner, 471 U.S. 1 (1985): deadly force against fleeing suspects limited. 42 U.S.C. section 1983: civil remedy for excessive force. 18 U.S.C. section 242: criminal liability for willful rights deprivation under color of law. Monell v. Department of Social Services, 436 U.S. 658 (1978): municipal liability for policy or custom causing constitutional violation. RFRA, 42 U.S.C. section 2000bb: substantial burden on sincere religious belief in bodily sanctity. ICCPR, Article 6: right to life. UDHR, Article 3: right to life, liberty, and security of person.</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Document every use of force: time, location, officer identity, exact actions taken, exact words spoken, injuries sustained, witnesses present. Photograph injuries immediately. File a complaint with the police department and simultaneously with the U.S. Department of Justice Civil Rights Division. Consult a civil rights attorney immediately. The statute of limitations on section 1983 claims in Georgia is two years. Do not wait.</w:t>
      </w:r>
    </w:p>
    <w:p>
      <w:pPr>
        <w:spacing w:before="120" w:after="120"/>
        <w:ind w:left="432" w:right="432"/>
        <w:jc w:val="center"/>
      </w:pPr>
      <w:r>
        <w:rPr>
          <w:rFonts w:ascii="Arial" w:hAnsi="Arial"/>
          <w:b w:val="0"/>
          <w:i/>
          <w:color w:val="7A5C00"/>
          <w:sz w:val="22"/>
        </w:rPr>
        <w:t>The State does not have the right to destroy what it did not create. The living being's body belongs to the Creator, not to the officer who touches it. Force applied without justification is not law enforcement. It is violence wearing a badge.</w:t>
      </w:r>
    </w:p>
    <w:p>
      <w:pPr>
        <w:spacing w:before="240" w:after="40"/>
        <w:jc w:val="left"/>
        <w:pBdr>
          <w:bottom w:val="single" w:sz="3" w:space="1" w:color="444466"/>
        </w:pBdr>
      </w:pPr>
      <w:r>
        <w:rPr>
          <w:rFonts w:ascii="Arial" w:hAnsi="Arial"/>
          <w:b/>
          <w:i w:val="0"/>
          <w:color w:val="222244"/>
          <w:sz w:val="24"/>
        </w:rPr>
        <w:t>EXCESSIVE FORCE</w:t>
      </w:r>
      <w:r>
        <w:rPr>
          <w:rFonts w:ascii="Arial" w:hAnsi="Arial"/>
          <w:b w:val="0"/>
          <w:i/>
          <w:color w:val="555577"/>
          <w:sz w:val="19"/>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Force that is not objectively reasonable under the circumstances as judged from the perspective of a reasonable officer on the scene, without the benefit of hindsight. Analyzed under the Fourth Amendment's totality of circumstances standard. (Graham v. Connor, 490 U.S. 396 (1989))</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reasonable officer standard asks whether a reasonable officer in the same situation would have acted the same way. This standard has been systematically applied to protect officers rather than citizens. The perspective of the reasonable officer is not a race-neutral perspective — it is shaped by training that has historically characterized Black men as threats, by departmental cultures that have normalized aggressive policing of Black communities, and by qualified immunity doctrine that has shielded officers from liability even when their conduct was clearly unconstitutional. The reasonable officer standard asks the wrong question. The right question is whether the force was constitutionally justified — whether it was necessary, proportionate, and applied without racial motivation.</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Excessive force is any application of State physical power against the living being that exceeds what is strictly necessary to achieve a constitutionally legitimate law enforcement objective, measured not only against the perspective of the officer but against the constitutional rights of the person subjected to the force. The Supreme Court in Kingsley v. Hendrickson, 576 U.S. 389 (2015), confirmed that excessive force claims require an objective analysis of whether the force used was objectively unreasonable. Justice Ginsburg's concurrence in Tolan v. Cotton, 572 U.S. 650 (2014), emphasized that excessive force analysis must consider all circumstances including the racial context in which the encounter occurred. Any force applied against a person who posed no immediate threat, who was not resisting, or who was fleeing a non-violent offense presumptively violates Tennessee v. Garner. And force applied in a pattern of racially disparate targeting constitutes systemic excessive force cognizable as a civil rights violation regardless of whether each individual application was technically justifiable.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Graham v. Connor, 490 U.S. 396 (1989). Tennessee v. Garner, 471 U.S. 1 (1985). Kingsley v. Hendrickson, 576 U.S. 389 (2015). Tolan v. Cotton, 572 U.S. 650 (2014). 42 U.S.C. section 1983. 18 U.S.C. section 242.</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In any excessive force claim, challenge the officer's characterization of the threat level, present the full context of the encounter, and assert the systemic evidence of racially disparate force as background for the individual claim. The trier of fact must consider all circumstances.</w:t>
      </w:r>
    </w:p>
    <w:p>
      <w:pPr>
        <w:spacing w:before="120" w:after="120"/>
        <w:ind w:left="432" w:right="432"/>
        <w:jc w:val="center"/>
      </w:pPr>
      <w:r>
        <w:rPr>
          <w:rFonts w:ascii="Arial" w:hAnsi="Arial"/>
          <w:b w:val="0"/>
          <w:i/>
          <w:color w:val="7A5C00"/>
          <w:sz w:val="22"/>
        </w:rPr>
        <w:t>Reasonable does not mean right. A system that has normalized violence against a people will produce reasonable officers who commit unreasonable acts. The standard must be measured against the Constitution, not against the culture.</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P</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PROBABLE CAUSE</w:t>
      </w:r>
      <w:r>
        <w:rPr>
          <w:rFonts w:ascii="Arial" w:hAnsi="Arial"/>
          <w:b w:val="0"/>
          <w:i/>
          <w:color w:val="555577"/>
          <w:sz w:val="20"/>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reasonable ground to suspect that a person has committed or is committing a crime or that a place contains specific items connected with a crime. Under the Fourth Amendment, probable cause — supported by oath or affirmation — must be shown before a warrant is issued. A practical, nontechnical standard applying the factual and practical considerations of everyday life on which reasonable and prudent men, not legal technicians, act. (Brinegar v. United States, 338 U.S. 160 (1949))</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probable cause presents it as a concrete factual standard that officers must meet before depriving the living being of liberty. In practice, probable cause has become one of the most elastic standards in constitutional law. Officers' probable cause determinations are given enormous deference by courts. The totality of circumstances test of Illinois v. Gates, 462 U.S. 213 (1983), replaced the more structured Aguilar-Spinelli test and made probable cause more difficult to challenge. Qualified immunity doctrine means that even an incorrect probable cause determination is shielded from civil liability unless it was clearly established that the conduct violated the Constitution. The practical result is that for Black Americans, probable cause has often meant little more than being Black in a space the officer considered suspicious — a standard that has never been acknowledged as constitutionally sufficient but has functioned as one in practice.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Probable cause is a demanding constitutional standard that requires specific, articulable, objective facts — not racial profile, not neighborhood association, not the officer's subjective hunch — sufficient to lead a reasonable person to conclude that the specific individual has committed, is committing, or is about to commit a specific crime. Beck v. Ohio, 379 U.S. 89 (1964). Probable cause must be evaluated based on what the officer knew at the moment of the search or arrest — not on facts discovered afterward. Sibron v. New York, 392 U.S. 40 (1968). The fact that a person is found in a high-crime area does not establish probable cause. The fact that a person is a member of a racial group does not establish probable cause. The fact that a person runs from police, standing alone, does not establish probable cause for arrest — only potentially for a Terry stop. Illinois v. Wardlow, 528 U.S. 119 (2000). Probable cause requires facts about the specific individual that point to specific criminal activity. Anything less is not probable cause. It is the State's power operating without its required constitutional predicate.</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Brinegar v. United States, 338 U.S. 160 (1949): foundational probable cause standard. Beck v. Ohio, 379 U.S. 89 (1964): probable cause requires specific facts. Illinois v. Gates, 462 U.S. 213 (1983): totality of circumstances. Illinois v. Wardlow, 528 U.S. 119 (2000): flight alone insufficient for probable cause. Sibron v. New York, 392 U.S. 40 (1968): probable cause assessed at moment of action. Ybarra v. Illinois, 444 U.S. 85 (1979): probable cause must be particularized to the individual. U.S. Const. amend. IV.</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an arrest or search is challenged, demand the specific facts that constituted probable cause at the moment of the action. General descriptions, racial profiles, and neighborhood associations do not constitute probable cause. A motion to suppress evidence obtained without probable cause is available in every criminal proceeding. The burden is on the State to demonstrate that probable cause existed. The living being need not prove its absence.</w:t>
      </w:r>
    </w:p>
    <w:p>
      <w:pPr>
        <w:spacing w:before="120" w:after="120"/>
        <w:ind w:left="432" w:right="432"/>
        <w:jc w:val="center"/>
      </w:pPr>
      <w:r>
        <w:rPr>
          <w:rFonts w:ascii="Arial" w:hAnsi="Arial"/>
          <w:b w:val="0"/>
          <w:i/>
          <w:color w:val="7A5C00"/>
          <w:sz w:val="22"/>
        </w:rPr>
        <w:t>Probably is not certainly. Cause requires facts. A person's race is a fact about their ancestry. It is not a fact about their conduct. The Fourth Amendment requires the latter.</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R</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REASONABLE SUSPICION</w:t>
      </w:r>
      <w:r>
        <w:rPr>
          <w:rFonts w:ascii="Arial" w:hAnsi="Arial"/>
          <w:b w:val="0"/>
          <w:i/>
          <w:color w:val="555577"/>
          <w:sz w:val="20"/>
        </w:rPr>
        <w:t xml:space="preserve">  (noun phrase)</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particularized and objective basis for suspecting a person of criminal activity. The standard required for a brief investigative detention under Terry v. Ohio. Less demanding than probable cause but more than a mere hunch. Must be based on specific articulable facts taken together with rational inferences. (Terry v. Ohio, 392 U.S. 1 (1968))</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reasonable suspicion presents it as a genuine constitutional constraint on police stops — something meaningfully less than probable cause but genuinely more than nothing. In practice, reasonable suspicion has become the most permissive standard in Fourth Amendment law and the one most subject to racial manipulation. Courts have found reasonable suspicion in: being present in a high-crime area, walking away from police, making eye contact with police, avoiding eye contact with police, wearing baggy clothing, wearing a hoodie, and fitting a general description that applied to thousands of people. The accumulated effect of these rulings is that for Black Americans in many jurisdictions, reasonable suspicion has meant being Black in a space the officer considered suspicious — which is to say, it has meant almost nothing as a constitutional protection.</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Reasonable suspicion is a genuine constitutional standard that requires the officer to be able to articulate specific facts — observable, particularized, and race-neutral — about the specific individual that, together with rational inferences drawn from those facts, point to specific criminal activity. Terry v. Ohio, 392 U.S. 1 (1968). Race cannot be a component of reasonable suspicion. United States v. Brignoni-Ponce, 422 U.S. 873 (1975), while permitting consideration of Hispanic appearance near the border (a holding the Counter-Canon contests as incorrectly decided), acknowledged that race or ethnicity alone is an insufficient basis for a stop. The particularization requirement of Ybarra v. Illinois, 444 U.S. 85 (1979), requires that reasonable suspicion attach to the specific individual, not to a group or a location. And Florida v. J.L., 529 U.S. 266 (2000), held that an anonymous tip, without more, does not provide reasonable suspicion — establishing that the standard requires verifiable, objective facts, not uncorroborated allegations. Reasonable suspicion has a floor. The Constitution requires the courts to hold that floor.</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Terry v. Ohio, 392 U.S. 1 (1968): foundational statement. United States v. Sokolow, 490 U.S. 1 (1989): totality of circumstances. Florida v. J.L., 529 U.S. 266 (2000): anonymous tip insufficient alone. Illinois v. Wardlow, 528 U.S. 119 (2000). Ybarra v. Illinois, 444 U.S. 85 (1979): particularization requirement. United States v. Brignoni-Ponce, 422 U.S. 873 (1975). Floyd v. City of New York, 959 F. Supp. 2d 540 (S.D.N.Y. 2013): race-based stops unconstitutional. U.S. Const. amend. IV, XIV.</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a stop is challenged, demand the specific articulable facts that constituted reasonable suspicion at the moment of the stop. Facts discovered after the stop cannot retroactively justify it. General descriptions, racial characteristics, and neighborhood association do not satisfy the standard. A motion to suppress based on lack of reasonable suspicion is available in every criminal proceeding arising from a stop.</w:t>
      </w:r>
    </w:p>
    <w:p>
      <w:pPr>
        <w:spacing w:before="120" w:after="120"/>
        <w:ind w:left="432" w:right="432"/>
        <w:jc w:val="center"/>
      </w:pPr>
      <w:r>
        <w:rPr>
          <w:rFonts w:ascii="Arial" w:hAnsi="Arial"/>
          <w:b w:val="0"/>
          <w:i/>
          <w:color w:val="7A5C00"/>
          <w:sz w:val="22"/>
        </w:rPr>
        <w:t>Suspicion is not evidence. Reasonable suspicion is not probable cause. And a standard that in practice means nothing is not a standard. It is permission dressed in constitutional language.</w:t>
      </w:r>
    </w:p>
    <w:p>
      <w:pPr>
        <w:spacing w:before="240" w:after="40"/>
        <w:jc w:val="left"/>
        <w:pBdr>
          <w:bottom w:val="single" w:sz="3" w:space="1" w:color="444466"/>
        </w:pBdr>
      </w:pPr>
      <w:r>
        <w:rPr>
          <w:rFonts w:ascii="Arial" w:hAnsi="Arial"/>
          <w:b/>
          <w:i w:val="0"/>
          <w:color w:val="222244"/>
          <w:sz w:val="24"/>
        </w:rPr>
        <w:t>RESISTANCE</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act of opposing, withstanding, or contending against something. In criminal law, physical opposition to arrest or lawful authority. Most jurisdictions make it a crime to resist arrest, even if the underlying arrest is later found to be unlawful. (Black's Law Dictionary, 11th ed.)</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resistance in the context of law enforcement treats all physical opposition to State authority as legally impermissible — even when the authority being exercised is itself unlawful. The rule that a person may not physically resist an unlawful arrest has deep roots in the effort to preserve public order and channel disputes through legal process rather than physical confrontation. But this rule has a particular dimension for Black Americans: it requires the living being to submit to whatever the officer does, regardless of its lawfulness, and to seek remedy through a legal system that has historically provided inadequate remedy for violations against Black people. The embedded assumption is that the legal process is an adequate substitute for the right of self-defense against unlawful State violence. For a community that has watched that legal process repeatedly fail to hold officers accountable, that assumption is not neutral.</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Resistance to unlawful State authority is a fundamental human right recognized in natural law, international human rights instruments, and — more limitedly but genuinely — in American legal tradition. The right of self-defense against unlawful force is a common law principle that predates the Constitution. While the dominant American rule holds that physical resistance to even an unlawful arrest is itself criminal, this rule has exceptions: a person may use reasonable force to defend against excessive force applied during an arrest, even an unlawful one. The Counter-Canon does not advocate physical resistance as a practical strategy — the consequences are too severe. What it recognizes is that the legal system's requirement that the living being submit to unlawful State violence and seek legal remedy afterward places the full burden of unlawful conduct on the victim and none on the perpetrator in the moment. Non-violent, verbal assertion of rights — the resistance of the word — is always lawful and always appropriate. It is the resistance the Counter-Canon advocates: clear, firm, documented assertion of constitutional rights at every stage of every encounter.</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UDHR, Article 20: right to peaceful assembly and association. ICCPR, Article 9: right to security of person. State v. Wiegmann, 350 Md. 585 (1998) and similar state cases recognizing limited right of self-defense against excessive force during arrest. The common law right of self-defense as background principle of American law. U.S. Const. amend. I: verbal resistance and assertion of rights is protected speech.</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Non-violent, verbal assertion of rights is always lawful and always appropriate. Say clearly: I do not consent to this stop. I am invoking my right to remain silent. I am invoking my right to an attorney. Do not physically resist. The verbal assertion creates the record. The legal challenge comes after. The physical resistance comes never — not because the authority is legitimate but because the consequences are designed to be worse than the violation.</w:t>
      </w:r>
    </w:p>
    <w:p>
      <w:pPr>
        <w:spacing w:before="120" w:after="120"/>
        <w:ind w:left="432" w:right="432"/>
        <w:jc w:val="center"/>
      </w:pPr>
      <w:r>
        <w:rPr>
          <w:rFonts w:ascii="Arial" w:hAnsi="Arial"/>
          <w:b w:val="0"/>
          <w:i/>
          <w:color w:val="7A5C00"/>
          <w:sz w:val="22"/>
        </w:rPr>
        <w:t>There is more than one way to resist. The most powerful resistance available to the living being is documentation, assertion, legal challenge, and the refusal to be silent about what was done. The word outlasts the moment. The record survives the encounter.</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S</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SEARCH</w:t>
      </w:r>
      <w:r>
        <w:rPr>
          <w:rFonts w:ascii="Arial" w:hAnsi="Arial"/>
          <w:b w:val="0"/>
          <w:i/>
          <w:color w:val="555577"/>
          <w:sz w:val="20"/>
        </w:rPr>
        <w:t xml:space="preserve">  (noun / verb)</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An examination of a person's body, property, or other area that the person would reasonably expect to be private, conducted by a law enforcement officer for the purpose of finding evidence of a crime. A search is subject to Fourth Amendment protection when the person has a reasonable expectation of privacy in the area or item searched. (Katz v. United States, 389 U.S. 347 (1967))</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search relies on the reasonable expectation of privacy standard established in Katz. This standard has progressively eroded under the third-party doctrine — the rule that information voluntarily shared with a third party carries no reasonable expectation of privacy. Under the third-party doctrine, bank records, phone records, email metadata, location data, and increasingly vast amounts of digital information have been treated as outside Fourth Amendment protection. In a digital world where the living being's entire life is mediated through third-party platforms, the third-party doctrine threatens to reduce the Fourth Amendment to a protection for physical spaces only — leaving the digital self entirely exposed. The embedded assumption is that sharing information with a third party for one purpose constitutes consent to government surveillance of that information. The living being who uses a phone, a bank, or the internet has not consented to government surveillance of every aspect of their life.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search is any government intrusion into the living being's reasonable expectation of privacy — physical, digital, or biological — that requires Fourth Amendment justification. The Supreme Court in Carpenter v. United States, 585 U.S. 296 (2018), began to limit the third-party doctrine in the digital context, holding that cell-site location information receives Fourth Amendment protection despite being held by a third party. Chief Justice Roberts wrote that the Court must assure the preservation of that degree of privacy against government that existed when the Fourth Amendment was adopted. This principle extends to all digital information that the living being generates in the course of modern life: the comprehensive digital record of a person's movements, associations, communications, and conduct receives Fourth Amendment protection regardless of who holds it. The living being's biological information — DNA, biometric data, medical records — receives the highest level of Fourth Amendment protection as an intrusion into the body itself. Maryland v. King, 569 U.S. 435 (2013), permitted DNA collection incident to arrest, but this holding must be read alongside the Counter-Canon's RFRA argument: compelled extraction of biological material from the sacred body constitutes a substantial burden on sincerely held religious belief.</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Katz v. United States, 389 U.S. 347 (1967): reasonable expectation of privacy standard. Carpenter v. United States, 585 U.S. 296 (2018): digital information and Third Amendment protection. Riley v. California, 573 U.S. 373 (2014): cell phones require warrant to search. Kyllo v. United States, 533 U.S. 27 (2001): thermal imaging of home is a search. Maryland v. King, 569 U.S. 435 (2013): DNA collection. RFRA, 42 U.S.C. section 2000bb: biological intrusion as religious burden. U.S. Const. amend. IV.</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Consent to a search must be voluntary and informed. Never consent. The officer who asks permission does not have the right to search without it or without a warrant. If a search is conducted without consent and without a warrant, every item of evidence discovered may be subject to suppression. Digital searches require a warrant under Riley. Assert these rights clearly and on the record.</w:t>
      </w:r>
    </w:p>
    <w:p>
      <w:pPr>
        <w:spacing w:before="120" w:after="120"/>
        <w:ind w:left="432" w:right="432"/>
        <w:jc w:val="center"/>
      </w:pPr>
      <w:r>
        <w:rPr>
          <w:rFonts w:ascii="Arial" w:hAnsi="Arial"/>
          <w:b w:val="0"/>
          <w:i/>
          <w:color w:val="7A5C00"/>
          <w:sz w:val="22"/>
        </w:rPr>
        <w:t>Your body is not a crime scene. Your phone is not public property. Your home is not an extension of the street. The Fourth Amendment drew these lines for a reason. The living being's inner life — physical, digital, and spiritual — belongs to the being, not to the State.</w:t>
      </w:r>
    </w:p>
    <w:p>
      <w:pPr>
        <w:spacing w:before="240" w:after="40"/>
        <w:jc w:val="left"/>
        <w:pBdr>
          <w:bottom w:val="single" w:sz="3" w:space="1" w:color="444466"/>
        </w:pBdr>
      </w:pPr>
      <w:r>
        <w:rPr>
          <w:rFonts w:ascii="Arial" w:hAnsi="Arial"/>
          <w:b/>
          <w:i w:val="0"/>
          <w:color w:val="222244"/>
          <w:sz w:val="24"/>
        </w:rPr>
        <w:t>SEIZURE</w:t>
      </w:r>
      <w:r>
        <w:rPr>
          <w:rFonts w:ascii="Arial" w:hAnsi="Arial"/>
          <w:b w:val="0"/>
          <w:i/>
          <w:color w:val="555577"/>
          <w:sz w:val="19"/>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The act or an instance of taking possession of a person or property by legal process. A seizure of a person occurs when, by means of physical force or a show of authority, a person's freedom of movement is restrained and a reasonable person would not feel free to decline the officer's requests or otherwise terminate the encounter. (Florida v. Bostick, 501 U.S. 429 (1991))</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dominant definition of seizure rests on the reasonable person standard — would a reasonable person feel free to leave? This standard has been applied in ways that consistently underestimate the coercive reality of police encounters for Black Americans. A reasonable Black person in America does not feel free to simply walk away from a police officer in the same way the dominant definition's neutral reasonable person might. The history of what has happened to Black people who walked away, who ran, who questioned, who asserted rights — that history is part of what makes a police encounter coercive for the living being of African descent in ways that the dominant definition's abstract reasonable person does not capture.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seizure occurs whenever the living being's freedom of movement is restrained by State authority — by physical force, by show of authority, by the presence of multiple officers, by the display of weapons, or by any other circumstance that would cause a reasonable person in the living being's specific situation to understand that they are not free to leave. The reasonable person standard must be applied with awareness of the specific circumstances of the encounter, including its racial context. California v. Hodari D., 499 U.S. 621 (1991), while holding that a person who flees is not seized until physically stopped, acknowledged that a seizure occurs at the moment physical force is applied or submission to authority occurs. Every seizure, however brief, is a constitutional event requiring justification. And a pattern of seizures targeting the living being because of race, without individualized justification, constitutes a systemic Fourth and Fourteenth Amendment violation regardless of whether each individual seizure was technically justified.</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Florida v. Bostick, 501 U.S. 429 (1991): reasonable person standard for seizure. California v. Hodari D., 499 U.S. 621 (1991): when seizure occurs. United States v. Mendenhall, 446 U.S. 544 (1980): show of authority. Michigan v. Chesternut, 486 U.S. 567 (1988): pursuit as seizure. U.S. Const. amend. IV.</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The moment you are not free to leave you have been seized. Assert your rights at that moment. The Fourth Amendment applies from the moment of seizure. Everything the officer does from that moment forward must be constitutionally justified.</w:t>
      </w:r>
    </w:p>
    <w:p>
      <w:pPr>
        <w:spacing w:before="120" w:after="120"/>
        <w:ind w:left="432" w:right="432"/>
        <w:jc w:val="center"/>
      </w:pPr>
      <w:r>
        <w:rPr>
          <w:rFonts w:ascii="Arial" w:hAnsi="Arial"/>
          <w:b w:val="0"/>
          <w:i/>
          <w:color w:val="7A5C00"/>
          <w:sz w:val="22"/>
        </w:rPr>
        <w:t>Freedom is not theoretical. Either you are free to walk away or you are not. The Constitution protects the latter. The living being should know which situation they are in and act accordingly.</w:t>
      </w:r>
    </w:p>
    <w:p>
      <w:pPr>
        <w:spacing w:before="240" w:after="40"/>
        <w:jc w:val="left"/>
        <w:pBdr>
          <w:bottom w:val="single" w:sz="3" w:space="1" w:color="444466"/>
        </w:pBdr>
      </w:pPr>
      <w:r>
        <w:rPr>
          <w:rFonts w:ascii="Arial" w:hAnsi="Arial"/>
          <w:b/>
          <w:i w:val="0"/>
          <w:color w:val="222244"/>
          <w:sz w:val="24"/>
        </w:rPr>
        <w:t>STOP</w:t>
      </w:r>
      <w:r>
        <w:rPr>
          <w:rFonts w:ascii="Arial" w:hAnsi="Arial"/>
          <w:b w:val="0"/>
          <w:i/>
          <w:color w:val="555577"/>
          <w:sz w:val="19"/>
        </w:rPr>
        <w:t xml:space="preserve">  (noun / verb)</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brief investigative detention, less intrusive than a formal arrest, authorized by Terry v. Ohio when a police officer has reasonable articulable suspicion that the person stopped has been, is, or is about to be engaged in criminal activity. A Terry stop must be limited in scope and duration to what is necessary to investigate the suspicion. (Terry v. Ohio, 392 U.S. 1 (1968))</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stop has become the primary mechanism of racially discriminatory policing in modern America. The Terry stop was conceived as a narrow exception to the probable cause requirement — a brief, limited investigation of genuinely suspicious conduct. What it became, particularly in the era of stop-and-frisk, was a tool for mass surveillance and racial harassment of Black and Latino communities. In New York City between 2003 and 2013, police conducted over 4.4 million stops. More than 80% were of Black and Latino people. More than 88% were entirely innocent. A federal court found that the program was unconstitutional racial profiling. Floyd v. City of New York, 959 F. Supp. 2d 540 (S.D.N.Y. 2013). The embedded assumption that the Terry stop is a carefully calibrated constitutional tool rather than a mechanism of racial control is refuted by the documented practice.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A stop is a constitutionally permissible brief investigative detention only when it is supported by reasonable suspicion that is specific to the individual stopped, articulated in terms of specific observable facts, race-neutral in its basis, and limited in scope and duration to what is necessary to investigate the specific suspicion that justified it. Terry v. Ohio, 392 U.S. 1 (1968). A stop that exceeds its original justification — that is prolonged to allow investigation of matters beyond the original suspicion — becomes an unlawful detention. Rodriguez v. United States, 575 U.S. 348 (2015). A pattern of stops that disproportionately targets the living being because of race, with or without individual justification, constitutes a systemic constitutional violation. Floyd. The stop is not a routine police tool to be applied indiscriminately to any community the police choose to target. It is a specific, limited constitutional exception to the probable cause requirement with specific, limited conditions that must be met.</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Terry v. Ohio, 392 U.S. 1 (1968). Rodriguez v. United States, 575 U.S. 348 (2015): stop cannot be extended. Illinois v. Wardlow, 528 U.S. 119 (2000). Floyd v. City of New York, 959 F. Supp. 2d 540 (S.D.N.Y. 2013): stop-and-frisk as unconstitutional racial profiling. U.S. Const. amend. IV, XIV.</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stopped, ask immediately: Am I free to go? If no, invoke your rights: I do not consent to this stop. I am invoking my right to remain silent. I am invoking my right to an attorney. Document the stop fully afterward: time, location, officer identity, basis stated, duration, everything said and done. If you are stopped repeatedly without individualized justification, the pattern itself is a constitutional claim.</w:t>
      </w:r>
    </w:p>
    <w:p>
      <w:pPr>
        <w:spacing w:before="120" w:after="120"/>
        <w:ind w:left="432" w:right="432"/>
        <w:jc w:val="center"/>
      </w:pPr>
      <w:r>
        <w:rPr>
          <w:rFonts w:ascii="Arial" w:hAnsi="Arial"/>
          <w:b w:val="0"/>
          <w:i/>
          <w:color w:val="7A5C00"/>
          <w:sz w:val="22"/>
        </w:rPr>
        <w:t>A stop is not a greeting. It is a deprivation of liberty. Brief deprivations are still deprivations. The Constitution does not have a minimum threshold below which liberty is unprotected.</w:t>
      </w:r>
    </w:p>
    <w:p>
      <w:pPr>
        <w:spacing w:before="200" w:after="200"/>
        <w:jc w:val="center"/>
        <w:pBdr>
          <w:bottom w:val="single" w:sz="4" w:space="1" w:color="1a1a2e"/>
        </w:pBdr>
      </w:pPr>
    </w:p>
    <w:p>
      <w:r>
        <w:br w:type="page"/>
      </w:r>
    </w:p>
    <w:p>
      <w:pPr>
        <w:spacing w:before="0" w:after="80"/>
        <w:jc w:val="center"/>
      </w:pPr>
      <w:r>
        <w:rPr>
          <w:rFonts w:ascii="Arial" w:hAnsi="Arial"/>
          <w:b/>
          <w:i w:val="0"/>
          <w:color w:val="1A1A2E"/>
          <w:sz w:val="72"/>
        </w:rPr>
        <w:t>W</w:t>
      </w:r>
    </w:p>
    <w:p>
      <w:pPr>
        <w:spacing w:before="0" w:after="160"/>
        <w:jc w:val="center"/>
        <w:pBdr>
          <w:bottom w:val="single" w:sz="6" w:space="1" w:color="1a1a2e"/>
        </w:pBdr>
      </w:pPr>
    </w:p>
    <w:p>
      <w:pPr>
        <w:spacing w:before="360" w:after="40"/>
        <w:jc w:val="left"/>
        <w:pBdr>
          <w:bottom w:val="single" w:sz="6" w:space="1" w:color="1a1a2e"/>
        </w:pBdr>
      </w:pPr>
      <w:r>
        <w:rPr>
          <w:rFonts w:ascii="Arial" w:hAnsi="Arial"/>
          <w:b/>
          <w:i w:val="0"/>
          <w:color w:val="1A1A2E"/>
          <w:sz w:val="30"/>
        </w:rPr>
        <w:t>WARRANT</w:t>
      </w:r>
      <w:r>
        <w:rPr>
          <w:rFonts w:ascii="Arial" w:hAnsi="Arial"/>
          <w:b w:val="0"/>
          <w:i/>
          <w:color w:val="555577"/>
          <w:sz w:val="20"/>
        </w:rPr>
        <w:t xml:space="preserve">  (noun)</w:t>
      </w:r>
    </w:p>
    <w:p>
      <w:pPr>
        <w:spacing w:before="160" w:after="40"/>
        <w:jc w:val="left"/>
      </w:pPr>
      <w:r>
        <w:rPr>
          <w:rFonts w:ascii="Arial" w:hAnsi="Arial"/>
          <w:b/>
          <w:i w:val="0"/>
          <w:color w:val="555577"/>
          <w:sz w:val="18"/>
        </w:rPr>
        <w:t>DOMINANT DEFINITION</w:t>
      </w:r>
    </w:p>
    <w:p>
      <w:pPr>
        <w:spacing w:before="0" w:after="80"/>
        <w:ind w:left="360" w:right="360"/>
        <w:jc w:val="both"/>
      </w:pPr>
      <w:r>
        <w:rPr>
          <w:rFonts w:ascii="Arial" w:hAnsi="Arial"/>
          <w:b w:val="0"/>
          <w:i/>
          <w:color w:val="444444"/>
          <w:sz w:val="21"/>
        </w:rPr>
        <w:t>A writ directing or authorizing someone to do an act, especially one directing a law enforcement officer to make an arrest, conduct a search, or seize property. An arrest warrant is a judicial order authorizing the arrest of a named person. A search warrant is a judicial order authorizing the search of a specific place for specific evidence. The Fourth Amendment requires that warrants be supported by probable cause, supported by oath or affirmation, and particularly describe the place to be searched and the persons or things to be seized. (U.S. Const. amend. IV)</w:t>
      </w:r>
    </w:p>
    <w:p>
      <w:pPr>
        <w:spacing w:before="160" w:after="40"/>
        <w:jc w:val="left"/>
      </w:pPr>
      <w:r>
        <w:rPr>
          <w:rFonts w:ascii="Arial" w:hAnsi="Arial"/>
          <w:b/>
          <w:i w:val="0"/>
          <w:color w:val="8B0000"/>
          <w:sz w:val="18"/>
        </w:rPr>
        <w:t>EMBEDDED ASSUMPTION</w:t>
      </w:r>
    </w:p>
    <w:p>
      <w:pPr>
        <w:spacing w:before="0" w:after="80"/>
        <w:ind w:left="360" w:right="360"/>
        <w:jc w:val="both"/>
      </w:pPr>
      <w:r>
        <w:rPr>
          <w:rFonts w:ascii="Arial" w:hAnsi="Arial"/>
          <w:b w:val="0"/>
          <w:i w:val="0"/>
          <w:color w:val="5A0000"/>
          <w:sz w:val="21"/>
        </w:rPr>
        <w:t>The warrant requirement is the Fourth Amendment's primary protection for the living being against unreasonable government intrusion. But the dominant treatment of the warrant requirement focuses as much on its exceptions as on the requirement itself. Courts have recognized dozens of exceptions to the warrant requirement: search incident to arrest, exigent circumstances, automobile exception, plain view, consent, inventory search, border search, school search, parole and probation searches, and more. The cumulative effect of these exceptions has substantially eroded the warrant requirement in practice — particularly for Black Americans whose encounters with law enforcement disproportionately involve the automobile exception, the consent exception, and the stop-and-frisk pat-down exception. The embedded assumption is that the exceptions are carefully calibrated and narrowly drawn. In practice they have swallowed significant portions of the rule.</w:t>
      </w:r>
    </w:p>
    <w:p>
      <w:pPr>
        <w:spacing w:before="160" w:after="40"/>
        <w:jc w:val="left"/>
      </w:pPr>
      <w:r>
        <w:rPr>
          <w:rFonts w:ascii="Arial" w:hAnsi="Arial"/>
          <w:b/>
          <w:i w:val="0"/>
          <w:color w:val="004D00"/>
          <w:sz w:val="18"/>
        </w:rPr>
        <w:t>COUNTER-DEFINITION</w:t>
      </w:r>
    </w:p>
    <w:p>
      <w:pPr>
        <w:spacing w:before="0" w:after="80"/>
        <w:jc w:val="both"/>
      </w:pPr>
      <w:r>
        <w:rPr>
          <w:rFonts w:ascii="Arial" w:hAnsi="Arial"/>
          <w:b w:val="0"/>
          <w:i w:val="0"/>
          <w:color w:val="1A1A2E"/>
          <w:sz w:val="21"/>
        </w:rPr>
        <w:t>The warrant is the Fourth Amendment's primary guarantee that the living being's body, home, and belongings will not be invaded by the State without the prior authorization of a neutral magistrate who has independently determined that probable cause exists. This requirement is not a technicality. It is the foundational protection that interposes the judicial branch between the executive's desire to search and the living being's right to privacy. The Supreme Court in Payton v. New York, 445 U.S. 573 (1980), held that the home is sacrosanct — an arrest in the home requires a warrant absent exigent circumstances. Riley v. California, 573 U.S. 373 (2014), held that a cell phone may not be searched incident to arrest without a warrant — recognizing that the digital record of a person's life receives the same protection as the home. Carpenter v. United States, 585 U.S. 296 (2018), extended warrant protection to cell-site location data. The direction of the law — when the Court follows the Constitution's text — is toward stronger warrant protection for the digital and biological self. The Counter-Canon follows that direction to its logical conclusion: every significant government intrusion into the living being's physical, digital, or biological space requires the prior authorization of an independent judicial officer who has determined that probable cause exists. Exceptions must be genuinely narrow and genuinely exceptional.</w:t>
      </w:r>
    </w:p>
    <w:p>
      <w:pPr>
        <w:spacing w:before="40" w:after="80"/>
        <w:ind w:left="360" w:right="360"/>
        <w:jc w:val="both"/>
      </w:pPr>
      <w:r>
        <w:rPr>
          <w:rFonts w:ascii="Arial" w:hAnsi="Arial"/>
          <w:b/>
          <w:i w:val="0"/>
          <w:color w:val="555577"/>
          <w:sz w:val="19"/>
        </w:rPr>
        <w:t xml:space="preserve">Authority: </w:t>
      </w:r>
      <w:r>
        <w:rPr>
          <w:rFonts w:ascii="Arial" w:hAnsi="Arial"/>
          <w:b w:val="0"/>
          <w:i/>
          <w:color w:val="555577"/>
          <w:sz w:val="19"/>
        </w:rPr>
        <w:t>U.S. Const. amend. IV: the warrant requirement in full. Payton v. New York, 445 U.S. 573 (1980): home arrest requires warrant. Riley v. California, 573 U.S. 373 (2014): cell phone search requires warrant. Carpenter v. United States, 585 U.S. 296 (2018): cell-site location data requires warrant. Katz v. United States, 389 U.S. 347 (1967): warrant required for privacy intrusions. Coolidge v. New Hampshire, 403 U.S. 443 (1971): warrant exceptions must be strictly construed. Kyllo v. United States, 533 U.S. 27 (2001): technology that reveals information from inside the home requires warrant.</w:t>
      </w:r>
    </w:p>
    <w:p>
      <w:pPr>
        <w:spacing w:before="40" w:after="80"/>
        <w:ind w:left="360"/>
        <w:jc w:val="both"/>
      </w:pPr>
      <w:r>
        <w:rPr>
          <w:rFonts w:ascii="Arial" w:hAnsi="Arial"/>
          <w:b/>
          <w:i w:val="0"/>
          <w:color w:val="004D00"/>
          <w:sz w:val="19"/>
        </w:rPr>
        <w:t xml:space="preserve">Practical Application: </w:t>
      </w:r>
      <w:r>
        <w:rPr>
          <w:rFonts w:ascii="Arial" w:hAnsi="Arial"/>
          <w:b w:val="0"/>
          <w:i w:val="0"/>
          <w:color w:val="000000"/>
          <w:sz w:val="21"/>
        </w:rPr>
        <w:t>When law enforcement officers arrive without a warrant, you have the right to decline to allow entry into your home. Say clearly: Do you have a warrant? If there is no warrant, you may refuse entry. If officers enter without a warrant and without a recognized exception, the entry is unlawful and any evidence discovered may be suppressed. Never consent to a warrantless search. Never. The warrant requirement exists precisely because the Founders understood that a government with the power to search without prior judicial authorization is a government with the power to harass, intimidate, and destroy at will.</w:t>
      </w:r>
    </w:p>
    <w:p>
      <w:pPr>
        <w:spacing w:before="120" w:after="120"/>
        <w:ind w:left="432" w:right="432"/>
        <w:jc w:val="center"/>
      </w:pPr>
      <w:r>
        <w:rPr>
          <w:rFonts w:ascii="Arial" w:hAnsi="Arial"/>
          <w:b w:val="0"/>
          <w:i/>
          <w:color w:val="7A5C00"/>
          <w:sz w:val="22"/>
        </w:rPr>
        <w:t>The warrant is the law's acknowledgment that the State cannot be trusted to police itself. A judge must authorize before the officer acts. That requirement is not bureaucracy. It is liberty. The moment the warrant requirement disappears, the home is no longer a castle. It is a space the State permits you to occupy until it decides otherwise.</w:t>
      </w:r>
    </w:p>
    <w:p>
      <w:pPr>
        <w:spacing w:before="200" w:after="200"/>
        <w:jc w:val="center"/>
        <w:pBdr>
          <w:bottom w:val="single" w:sz="2" w:space="1" w:color="888888"/>
        </w:pBdr>
      </w:pPr>
    </w:p>
    <w:p>
      <w:r>
        <w:br w:type="page"/>
      </w:r>
    </w:p>
    <w:p>
      <w:pPr>
        <w:spacing w:before="0" w:after="120"/>
        <w:jc w:val="center"/>
      </w:pPr>
      <w:r>
        <w:rPr>
          <w:rFonts w:ascii="Arial" w:hAnsi="Arial"/>
          <w:b/>
          <w:i w:val="0"/>
          <w:color w:val="1A1A2E"/>
          <w:sz w:val="22"/>
        </w:rPr>
        <w:t>AMENDMENT RECORD — VOLUME THREE</w:t>
      </w:r>
    </w:p>
    <w:p>
      <w:pPr>
        <w:spacing w:before="0" w:after="80"/>
        <w:jc w:val="both"/>
      </w:pPr>
      <w:r>
        <w:rPr>
          <w:rFonts w:ascii="Arial" w:hAnsi="Arial"/>
          <w:b w:val="0"/>
          <w:i/>
          <w:color w:val="555577"/>
          <w:sz w:val="21"/>
        </w:rPr>
        <w:t>Volume Three, First Edition. Published 2026. No amendments recorded at time of first publication. All amendments will be logged in subsequent editions with: date, triggering authority, nature of change, and editorial note. The Eternal Zone (Embedded Assumption and The Truth) will never be amended.</w:t>
      </w:r>
    </w:p>
    <w:p>
      <w:r>
        <w:br w:type="page"/>
      </w:r>
    </w:p>
    <w:p>
      <w:pPr>
        <w:spacing w:before="0" w:after="120"/>
        <w:jc w:val="center"/>
      </w:pPr>
      <w:r>
        <w:rPr>
          <w:rFonts w:ascii="Arial" w:hAnsi="Arial"/>
          <w:b/>
          <w:i w:val="0"/>
          <w:color w:val="1A1A2E"/>
          <w:sz w:val="22"/>
        </w:rPr>
        <w:t>TABLE OF AUTHORITIES — VOLUME THREE</w:t>
      </w:r>
    </w:p>
    <w:p>
      <w:pPr>
        <w:spacing w:before="200" w:after="60"/>
        <w:jc w:val="left"/>
        <w:pBdr>
          <w:bottom w:val="single" w:sz="3" w:space="1" w:color="444466"/>
        </w:pBdr>
      </w:pPr>
      <w:r>
        <w:rPr>
          <w:rFonts w:ascii="Arial" w:hAnsi="Arial"/>
          <w:b/>
          <w:i w:val="0"/>
          <w:color w:val="222244"/>
          <w:sz w:val="22"/>
        </w:rPr>
        <w:t>United States Supreme Court Cases</w:t>
      </w:r>
    </w:p>
    <w:p>
      <w:pPr>
        <w:pStyle w:val="ListBullet"/>
        <w:spacing w:after="40"/>
        <w:ind w:left="576"/>
      </w:pPr>
      <w:r>
        <w:rPr>
          <w:rFonts w:ascii="Arial" w:hAnsi="Arial"/>
          <w:sz w:val="21"/>
        </w:rPr>
        <w:t>Beck v. Ohio, 379 U.S. 89 (1964)</w:t>
      </w:r>
    </w:p>
    <w:p>
      <w:pPr>
        <w:pStyle w:val="ListBullet"/>
        <w:spacing w:after="40"/>
        <w:ind w:left="576"/>
      </w:pPr>
      <w:r>
        <w:rPr>
          <w:rFonts w:ascii="Arial" w:hAnsi="Arial"/>
          <w:sz w:val="21"/>
        </w:rPr>
        <w:t>Brinegar v. United States, 338 U.S. 160 (1949)</w:t>
      </w:r>
    </w:p>
    <w:p>
      <w:pPr>
        <w:pStyle w:val="ListBullet"/>
        <w:spacing w:after="40"/>
        <w:ind w:left="576"/>
      </w:pPr>
      <w:r>
        <w:rPr>
          <w:rFonts w:ascii="Arial" w:hAnsi="Arial"/>
          <w:sz w:val="21"/>
        </w:rPr>
        <w:t>California v. Hodari D., 499 U.S. 621 (1991)</w:t>
      </w:r>
    </w:p>
    <w:p>
      <w:pPr>
        <w:pStyle w:val="ListBullet"/>
        <w:spacing w:after="40"/>
        <w:ind w:left="576"/>
      </w:pPr>
      <w:r>
        <w:rPr>
          <w:rFonts w:ascii="Arial" w:hAnsi="Arial"/>
          <w:sz w:val="21"/>
        </w:rPr>
        <w:t>Carpenter v. United States, 585 U.S. 296 (2018)</w:t>
      </w:r>
    </w:p>
    <w:p>
      <w:pPr>
        <w:pStyle w:val="ListBullet"/>
        <w:spacing w:after="40"/>
        <w:ind w:left="576"/>
      </w:pPr>
      <w:r>
        <w:rPr>
          <w:rFonts w:ascii="Arial" w:hAnsi="Arial"/>
          <w:sz w:val="21"/>
        </w:rPr>
        <w:t>Coolidge v. New Hampshire, 403 U.S. 443 (1971)</w:t>
      </w:r>
    </w:p>
    <w:p>
      <w:pPr>
        <w:pStyle w:val="ListBullet"/>
        <w:spacing w:after="40"/>
        <w:ind w:left="576"/>
      </w:pPr>
      <w:r>
        <w:rPr>
          <w:rFonts w:ascii="Arial" w:hAnsi="Arial"/>
          <w:sz w:val="21"/>
        </w:rPr>
        <w:t>Dunaway v. New York, 442 U.S. 200 (1979)</w:t>
      </w:r>
    </w:p>
    <w:p>
      <w:pPr>
        <w:pStyle w:val="ListBullet"/>
        <w:spacing w:after="40"/>
        <w:ind w:left="576"/>
      </w:pPr>
      <w:r>
        <w:rPr>
          <w:rFonts w:ascii="Arial" w:hAnsi="Arial"/>
          <w:sz w:val="21"/>
        </w:rPr>
        <w:t>Florida v. Bostick, 501 U.S. 429 (1991)</w:t>
      </w:r>
    </w:p>
    <w:p>
      <w:pPr>
        <w:pStyle w:val="ListBullet"/>
        <w:spacing w:after="40"/>
        <w:ind w:left="576"/>
      </w:pPr>
      <w:r>
        <w:rPr>
          <w:rFonts w:ascii="Arial" w:hAnsi="Arial"/>
          <w:sz w:val="21"/>
        </w:rPr>
        <w:t>Florida v. J.L., 529 U.S. 266 (2000)</w:t>
      </w:r>
    </w:p>
    <w:p>
      <w:pPr>
        <w:pStyle w:val="ListBullet"/>
        <w:spacing w:after="40"/>
        <w:ind w:left="576"/>
      </w:pPr>
      <w:r>
        <w:rPr>
          <w:rFonts w:ascii="Arial" w:hAnsi="Arial"/>
          <w:sz w:val="21"/>
        </w:rPr>
        <w:t>Graham v. Connor, 490 U.S. 396 (1989)</w:t>
      </w:r>
    </w:p>
    <w:p>
      <w:pPr>
        <w:pStyle w:val="ListBullet"/>
        <w:spacing w:after="40"/>
        <w:ind w:left="576"/>
      </w:pPr>
      <w:r>
        <w:rPr>
          <w:rFonts w:ascii="Arial" w:hAnsi="Arial"/>
          <w:sz w:val="21"/>
        </w:rPr>
        <w:t>Illinois v. Gates, 462 U.S. 213 (1983)</w:t>
      </w:r>
    </w:p>
    <w:p>
      <w:pPr>
        <w:pStyle w:val="ListBullet"/>
        <w:spacing w:after="40"/>
        <w:ind w:left="576"/>
      </w:pPr>
      <w:r>
        <w:rPr>
          <w:rFonts w:ascii="Arial" w:hAnsi="Arial"/>
          <w:sz w:val="21"/>
        </w:rPr>
        <w:t>Illinois v. Wardlow, 528 U.S. 119 (2000)</w:t>
      </w:r>
    </w:p>
    <w:p>
      <w:pPr>
        <w:pStyle w:val="ListBullet"/>
        <w:spacing w:after="40"/>
        <w:ind w:left="576"/>
      </w:pPr>
      <w:r>
        <w:rPr>
          <w:rFonts w:ascii="Arial" w:hAnsi="Arial"/>
          <w:sz w:val="21"/>
        </w:rPr>
        <w:t>Katz v. United States, 389 U.S. 347 (1967)</w:t>
      </w:r>
    </w:p>
    <w:p>
      <w:pPr>
        <w:pStyle w:val="ListBullet"/>
        <w:spacing w:after="40"/>
        <w:ind w:left="576"/>
      </w:pPr>
      <w:r>
        <w:rPr>
          <w:rFonts w:ascii="Arial" w:hAnsi="Arial"/>
          <w:sz w:val="21"/>
        </w:rPr>
        <w:t>Kingsley v. Hendrickson, 576 U.S. 389 (2015)</w:t>
      </w:r>
    </w:p>
    <w:p>
      <w:pPr>
        <w:pStyle w:val="ListBullet"/>
        <w:spacing w:after="40"/>
        <w:ind w:left="576"/>
      </w:pPr>
      <w:r>
        <w:rPr>
          <w:rFonts w:ascii="Arial" w:hAnsi="Arial"/>
          <w:sz w:val="21"/>
        </w:rPr>
        <w:t>Kyllo v. United States, 533 U.S. 27 (2001)</w:t>
      </w:r>
    </w:p>
    <w:p>
      <w:pPr>
        <w:pStyle w:val="ListBullet"/>
        <w:spacing w:after="40"/>
        <w:ind w:left="576"/>
      </w:pPr>
      <w:r>
        <w:rPr>
          <w:rFonts w:ascii="Arial" w:hAnsi="Arial"/>
          <w:sz w:val="21"/>
        </w:rPr>
        <w:t>Mapp v. Ohio, 367 U.S. 643 (1961)</w:t>
      </w:r>
    </w:p>
    <w:p>
      <w:pPr>
        <w:pStyle w:val="ListBullet"/>
        <w:spacing w:after="40"/>
        <w:ind w:left="576"/>
      </w:pPr>
      <w:r>
        <w:rPr>
          <w:rFonts w:ascii="Arial" w:hAnsi="Arial"/>
          <w:sz w:val="21"/>
        </w:rPr>
        <w:t>Maryland v. King, 569 U.S. 435 (2013)</w:t>
      </w:r>
    </w:p>
    <w:p>
      <w:pPr>
        <w:pStyle w:val="ListBullet"/>
        <w:spacing w:after="40"/>
        <w:ind w:left="576"/>
      </w:pPr>
      <w:r>
        <w:rPr>
          <w:rFonts w:ascii="Arial" w:hAnsi="Arial"/>
          <w:sz w:val="21"/>
        </w:rPr>
        <w:t>Michigan v. Chesternut, 486 U.S. 567 (1988)</w:t>
      </w:r>
    </w:p>
    <w:p>
      <w:pPr>
        <w:pStyle w:val="ListBullet"/>
        <w:spacing w:after="40"/>
        <w:ind w:left="576"/>
      </w:pPr>
      <w:r>
        <w:rPr>
          <w:rFonts w:ascii="Arial" w:hAnsi="Arial"/>
          <w:sz w:val="21"/>
        </w:rPr>
        <w:t>Monell v. Department of Social Services, 436 U.S. 658 (1978)</w:t>
      </w:r>
    </w:p>
    <w:p>
      <w:pPr>
        <w:pStyle w:val="ListBullet"/>
        <w:spacing w:after="40"/>
        <w:ind w:left="576"/>
      </w:pPr>
      <w:r>
        <w:rPr>
          <w:rFonts w:ascii="Arial" w:hAnsi="Arial"/>
          <w:sz w:val="21"/>
        </w:rPr>
        <w:t>Payton v. New York, 445 U.S. 573 (1980)</w:t>
      </w:r>
    </w:p>
    <w:p>
      <w:pPr>
        <w:pStyle w:val="ListBullet"/>
        <w:spacing w:after="40"/>
        <w:ind w:left="576"/>
      </w:pPr>
      <w:r>
        <w:rPr>
          <w:rFonts w:ascii="Arial" w:hAnsi="Arial"/>
          <w:sz w:val="21"/>
        </w:rPr>
        <w:t>Riley v. California, 573 U.S. 373 (2014)</w:t>
      </w:r>
    </w:p>
    <w:p>
      <w:pPr>
        <w:pStyle w:val="ListBullet"/>
        <w:spacing w:after="40"/>
        <w:ind w:left="576"/>
      </w:pPr>
      <w:r>
        <w:rPr>
          <w:rFonts w:ascii="Arial" w:hAnsi="Arial"/>
          <w:sz w:val="21"/>
        </w:rPr>
        <w:t>Rodriguez v. United States, 575 U.S. 348 (2015)</w:t>
      </w:r>
    </w:p>
    <w:p>
      <w:pPr>
        <w:pStyle w:val="ListBullet"/>
        <w:spacing w:after="40"/>
        <w:ind w:left="576"/>
      </w:pPr>
      <w:r>
        <w:rPr>
          <w:rFonts w:ascii="Arial" w:hAnsi="Arial"/>
          <w:sz w:val="21"/>
        </w:rPr>
        <w:t>Sibron v. New York, 392 U.S. 40 (1968)</w:t>
      </w:r>
    </w:p>
    <w:p>
      <w:pPr>
        <w:pStyle w:val="ListBullet"/>
        <w:spacing w:after="40"/>
        <w:ind w:left="576"/>
      </w:pPr>
      <w:r>
        <w:rPr>
          <w:rFonts w:ascii="Arial" w:hAnsi="Arial"/>
          <w:sz w:val="21"/>
        </w:rPr>
        <w:t>Tennessee v. Garner, 471 U.S. 1 (1985)</w:t>
      </w:r>
    </w:p>
    <w:p>
      <w:pPr>
        <w:pStyle w:val="ListBullet"/>
        <w:spacing w:after="40"/>
        <w:ind w:left="576"/>
      </w:pPr>
      <w:r>
        <w:rPr>
          <w:rFonts w:ascii="Arial" w:hAnsi="Arial"/>
          <w:sz w:val="21"/>
        </w:rPr>
        <w:t>Terry v. Ohio, 392 U.S. 1 (1968)</w:t>
      </w:r>
    </w:p>
    <w:p>
      <w:pPr>
        <w:pStyle w:val="ListBullet"/>
        <w:spacing w:after="40"/>
        <w:ind w:left="576"/>
      </w:pPr>
      <w:r>
        <w:rPr>
          <w:rFonts w:ascii="Arial" w:hAnsi="Arial"/>
          <w:sz w:val="21"/>
        </w:rPr>
        <w:t>Tolan v. Cotton, 572 U.S. 650 (2014)</w:t>
      </w:r>
    </w:p>
    <w:p>
      <w:pPr>
        <w:pStyle w:val="ListBullet"/>
        <w:spacing w:after="40"/>
        <w:ind w:left="576"/>
      </w:pPr>
      <w:r>
        <w:rPr>
          <w:rFonts w:ascii="Arial" w:hAnsi="Arial"/>
          <w:sz w:val="21"/>
        </w:rPr>
        <w:t>United States v. Armstrong, 517 U.S. 456 (1996)</w:t>
      </w:r>
    </w:p>
    <w:p>
      <w:pPr>
        <w:pStyle w:val="ListBullet"/>
        <w:spacing w:after="40"/>
        <w:ind w:left="576"/>
      </w:pPr>
      <w:r>
        <w:rPr>
          <w:rFonts w:ascii="Arial" w:hAnsi="Arial"/>
          <w:sz w:val="21"/>
        </w:rPr>
        <w:t>United States v. Brignoni-Ponce, 422 U.S. 873 (1975)</w:t>
      </w:r>
    </w:p>
    <w:p>
      <w:pPr>
        <w:pStyle w:val="ListBullet"/>
        <w:spacing w:after="40"/>
        <w:ind w:left="576"/>
      </w:pPr>
      <w:r>
        <w:rPr>
          <w:rFonts w:ascii="Arial" w:hAnsi="Arial"/>
          <w:sz w:val="21"/>
        </w:rPr>
        <w:t>United States v. Mendenhall, 446 U.S. 544 (1980)</w:t>
      </w:r>
    </w:p>
    <w:p>
      <w:pPr>
        <w:pStyle w:val="ListBullet"/>
        <w:spacing w:after="40"/>
        <w:ind w:left="576"/>
      </w:pPr>
      <w:r>
        <w:rPr>
          <w:rFonts w:ascii="Arial" w:hAnsi="Arial"/>
          <w:sz w:val="21"/>
        </w:rPr>
        <w:t>United States v. Sokolow, 490 U.S. 1 (1989)</w:t>
      </w:r>
    </w:p>
    <w:p>
      <w:pPr>
        <w:pStyle w:val="ListBullet"/>
        <w:spacing w:after="40"/>
        <w:ind w:left="576"/>
      </w:pPr>
      <w:r>
        <w:rPr>
          <w:rFonts w:ascii="Arial" w:hAnsi="Arial"/>
          <w:sz w:val="21"/>
        </w:rPr>
        <w:t>Ybarra v. Illinois, 444 U.S. 85 (1979)</w:t>
      </w:r>
    </w:p>
    <w:p>
      <w:pPr>
        <w:spacing w:before="200" w:after="60"/>
        <w:jc w:val="left"/>
        <w:pBdr>
          <w:bottom w:val="single" w:sz="3" w:space="1" w:color="444466"/>
        </w:pBdr>
      </w:pPr>
      <w:r>
        <w:rPr>
          <w:rFonts w:ascii="Arial" w:hAnsi="Arial"/>
          <w:b/>
          <w:i w:val="0"/>
          <w:color w:val="222244"/>
          <w:sz w:val="22"/>
        </w:rPr>
        <w:t>Federal and State Court Cases</w:t>
      </w:r>
    </w:p>
    <w:p>
      <w:pPr>
        <w:pStyle w:val="ListBullet"/>
        <w:spacing w:after="40"/>
        <w:ind w:left="576"/>
      </w:pPr>
      <w:r>
        <w:rPr>
          <w:rFonts w:ascii="Arial" w:hAnsi="Arial"/>
          <w:sz w:val="21"/>
        </w:rPr>
        <w:t>Floyd v. City of New York, 959 F. Supp. 2d 540 (S.D.N.Y. 2013)</w:t>
      </w:r>
    </w:p>
    <w:p>
      <w:pPr>
        <w:pStyle w:val="ListBullet"/>
        <w:spacing w:after="40"/>
        <w:ind w:left="576"/>
      </w:pPr>
      <w:r>
        <w:rPr>
          <w:rFonts w:ascii="Arial" w:hAnsi="Arial"/>
          <w:sz w:val="21"/>
        </w:rPr>
        <w:t>State v. Wiegmann, 350 Md. 585 (1998)</w:t>
      </w:r>
    </w:p>
    <w:p>
      <w:pPr>
        <w:spacing w:before="200" w:after="60"/>
        <w:jc w:val="left"/>
        <w:pBdr>
          <w:bottom w:val="single" w:sz="3" w:space="1" w:color="444466"/>
        </w:pBdr>
      </w:pPr>
      <w:r>
        <w:rPr>
          <w:rFonts w:ascii="Arial" w:hAnsi="Arial"/>
          <w:b/>
          <w:i w:val="0"/>
          <w:color w:val="222244"/>
          <w:sz w:val="22"/>
        </w:rPr>
        <w:t>Constitutional Provisions and Statutes</w:t>
      </w:r>
    </w:p>
    <w:p>
      <w:pPr>
        <w:pStyle w:val="ListBullet"/>
        <w:spacing w:after="40"/>
        <w:ind w:left="576"/>
      </w:pPr>
      <w:r>
        <w:rPr>
          <w:rFonts w:ascii="Arial" w:hAnsi="Arial"/>
          <w:sz w:val="21"/>
        </w:rPr>
        <w:t>U.S. Const. amend. I (Free Exercise)</w:t>
      </w:r>
    </w:p>
    <w:p>
      <w:pPr>
        <w:pStyle w:val="ListBullet"/>
        <w:spacing w:after="40"/>
        <w:ind w:left="576"/>
      </w:pPr>
      <w:r>
        <w:rPr>
          <w:rFonts w:ascii="Arial" w:hAnsi="Arial"/>
          <w:sz w:val="21"/>
        </w:rPr>
        <w:t>U.S. Const. amend. IV (Search, Seizure, Warrant)</w:t>
      </w:r>
    </w:p>
    <w:p>
      <w:pPr>
        <w:pStyle w:val="ListBullet"/>
        <w:spacing w:after="40"/>
        <w:ind w:left="576"/>
      </w:pPr>
      <w:r>
        <w:rPr>
          <w:rFonts w:ascii="Arial" w:hAnsi="Arial"/>
          <w:sz w:val="21"/>
        </w:rPr>
        <w:t>U.S. Const. amend. V (Due Process; Self-Incrimination)</w:t>
      </w:r>
    </w:p>
    <w:p>
      <w:pPr>
        <w:pStyle w:val="ListBullet"/>
        <w:spacing w:after="40"/>
        <w:ind w:left="576"/>
      </w:pPr>
      <w:r>
        <w:rPr>
          <w:rFonts w:ascii="Arial" w:hAnsi="Arial"/>
          <w:sz w:val="21"/>
        </w:rPr>
        <w:t>U.S. Const. amend. VI (Right to Counsel)</w:t>
      </w:r>
    </w:p>
    <w:p>
      <w:pPr>
        <w:pStyle w:val="ListBullet"/>
        <w:spacing w:after="40"/>
        <w:ind w:left="576"/>
      </w:pPr>
      <w:r>
        <w:rPr>
          <w:rFonts w:ascii="Arial" w:hAnsi="Arial"/>
          <w:sz w:val="21"/>
        </w:rPr>
        <w:t>U.S. Const. amend. VIII (Cruel and Unusual Punishment)</w:t>
      </w:r>
    </w:p>
    <w:p>
      <w:pPr>
        <w:pStyle w:val="ListBullet"/>
        <w:spacing w:after="40"/>
        <w:ind w:left="576"/>
      </w:pPr>
      <w:r>
        <w:rPr>
          <w:rFonts w:ascii="Arial" w:hAnsi="Arial"/>
          <w:sz w:val="21"/>
        </w:rPr>
        <w:t>U.S. Const. amend. XIII (Badges and Incidents of Slavery)</w:t>
      </w:r>
    </w:p>
    <w:p>
      <w:pPr>
        <w:pStyle w:val="ListBullet"/>
        <w:spacing w:after="40"/>
        <w:ind w:left="576"/>
      </w:pPr>
      <w:r>
        <w:rPr>
          <w:rFonts w:ascii="Arial" w:hAnsi="Arial"/>
          <w:sz w:val="21"/>
        </w:rPr>
        <w:t>U.S. Const. amend. XIV (Equal Protection; Due Process)</w:t>
      </w:r>
    </w:p>
    <w:p>
      <w:pPr>
        <w:pStyle w:val="ListBullet"/>
        <w:spacing w:after="40"/>
        <w:ind w:left="576"/>
      </w:pPr>
      <w:r>
        <w:rPr>
          <w:rFonts w:ascii="Arial" w:hAnsi="Arial"/>
          <w:sz w:val="21"/>
        </w:rPr>
        <w:t>42 U.S.C. section 1983 (Civil Action for Deprivation of Rights)</w:t>
      </w:r>
    </w:p>
    <w:p>
      <w:pPr>
        <w:pStyle w:val="ListBullet"/>
        <w:spacing w:after="40"/>
        <w:ind w:left="576"/>
      </w:pPr>
      <w:r>
        <w:rPr>
          <w:rFonts w:ascii="Arial" w:hAnsi="Arial"/>
          <w:sz w:val="21"/>
        </w:rPr>
        <w:t>18 U.S.C. section 241 (Conspiracy Against Rights)</w:t>
      </w:r>
    </w:p>
    <w:p>
      <w:pPr>
        <w:pStyle w:val="ListBullet"/>
        <w:spacing w:after="40"/>
        <w:ind w:left="576"/>
      </w:pPr>
      <w:r>
        <w:rPr>
          <w:rFonts w:ascii="Arial" w:hAnsi="Arial"/>
          <w:sz w:val="21"/>
        </w:rPr>
        <w:t>18 U.S.C. section 242 (Deprivation of Rights Under Color of Law)</w:t>
      </w:r>
    </w:p>
    <w:p>
      <w:pPr>
        <w:pStyle w:val="ListBullet"/>
        <w:spacing w:after="40"/>
        <w:ind w:left="576"/>
      </w:pPr>
      <w:r>
        <w:rPr>
          <w:rFonts w:ascii="Arial" w:hAnsi="Arial"/>
          <w:sz w:val="21"/>
        </w:rPr>
        <w:t>Religious Freedom Restoration Act, 42 U.S.C. section 2000bb et seq.</w:t>
      </w:r>
    </w:p>
    <w:p>
      <w:pPr>
        <w:pStyle w:val="ListBullet"/>
        <w:spacing w:after="40"/>
        <w:ind w:left="576"/>
      </w:pPr>
      <w:r>
        <w:rPr>
          <w:rFonts w:ascii="Arial" w:hAnsi="Arial"/>
          <w:sz w:val="21"/>
        </w:rPr>
        <w:t>ICCPR, Articles 6, 7, 9, 17</w:t>
      </w:r>
    </w:p>
    <w:p>
      <w:pPr>
        <w:pStyle w:val="ListBullet"/>
        <w:spacing w:after="40"/>
        <w:ind w:left="576"/>
      </w:pPr>
      <w:r>
        <w:rPr>
          <w:rFonts w:ascii="Arial" w:hAnsi="Arial"/>
          <w:sz w:val="21"/>
        </w:rPr>
        <w:t>UDHR, Articles 3, 5, 12</w:t>
      </w:r>
    </w:p>
    <w:p>
      <w:pPr>
        <w:spacing w:before="200" w:after="60"/>
        <w:jc w:val="left"/>
        <w:pBdr>
          <w:bottom w:val="single" w:sz="3" w:space="1" w:color="444466"/>
        </w:pBdr>
      </w:pPr>
      <w:r>
        <w:rPr>
          <w:rFonts w:ascii="Arial" w:hAnsi="Arial"/>
          <w:b/>
          <w:i w:val="0"/>
          <w:color w:val="222244"/>
          <w:sz w:val="22"/>
        </w:rPr>
        <w:t>Doctrine Sources</w:t>
      </w:r>
    </w:p>
    <w:p>
      <w:pPr>
        <w:pStyle w:val="ListBullet"/>
        <w:spacing w:after="40"/>
        <w:ind w:left="576"/>
      </w:pPr>
      <w:r>
        <w:rPr>
          <w:rFonts w:ascii="Arial" w:hAnsi="Arial"/>
          <w:sz w:val="21"/>
        </w:rPr>
        <w:t>Rickey Allan Howard, The Counter-Canon: A Dictionary of Living Law, Volumes One and Two (2026)</w:t>
      </w:r>
    </w:p>
    <w:p>
      <w:pPr>
        <w:pStyle w:val="ListBullet"/>
        <w:spacing w:after="40"/>
        <w:ind w:left="576"/>
      </w:pPr>
      <w:r>
        <w:rPr>
          <w:rFonts w:ascii="Arial" w:hAnsi="Arial"/>
          <w:sz w:val="21"/>
        </w:rPr>
        <w:t>Rickey Allan Howard, The Doctrine of Pre-Political Sovereign Being (2026)</w:t>
      </w:r>
    </w:p>
    <w:p>
      <w:pPr>
        <w:pStyle w:val="ListBullet"/>
        <w:spacing w:after="40"/>
        <w:ind w:left="576"/>
      </w:pPr>
      <w:r>
        <w:rPr>
          <w:rFonts w:ascii="Arial" w:hAnsi="Arial"/>
          <w:sz w:val="21"/>
        </w:rPr>
        <w:t>Rickey Allan Howard, Toolkit One: Unlawful Stop and Detention, Sovereign Self Legal Defense Series (2026)</w:t>
      </w:r>
    </w:p>
    <w:p>
      <w:r>
        <w:br w:type="page"/>
      </w:r>
    </w:p>
    <w:p>
      <w:pPr>
        <w:spacing w:before="0" w:after="120"/>
        <w:jc w:val="center"/>
        <w:pBdr>
          <w:bottom w:val="single" w:sz="4" w:space="1" w:color="1a1a2e"/>
        </w:pBdr>
      </w:pPr>
    </w:p>
    <w:p>
      <w:pPr>
        <w:spacing w:before="80" w:after="120"/>
        <w:jc w:val="center"/>
      </w:pPr>
      <w:r>
        <w:rPr>
          <w:rFonts w:ascii="Arial" w:hAnsi="Arial"/>
          <w:b/>
          <w:i w:val="0"/>
          <w:color w:val="1A1A2E"/>
          <w:sz w:val="20"/>
        </w:rPr>
        <w:t>A NOTE ON VOLUME FOUR</w:t>
      </w:r>
    </w:p>
    <w:p>
      <w:pPr>
        <w:spacing w:before="0" w:after="200"/>
        <w:jc w:val="center"/>
      </w:pPr>
      <w:r>
        <w:rPr>
          <w:rFonts w:ascii="Arial" w:hAnsi="Arial"/>
          <w:b w:val="0"/>
          <w:i/>
          <w:color w:val="222244"/>
          <w:sz w:val="21"/>
        </w:rPr>
        <w:t>Volume Four enters the land and heritage words: Land, Territory, Ownership, Title, Deed, Heir, Inheritance, Ancestral, Sacred, Indigenous. These are the words that govern the living being's relationship to the Earth itself — the relationship that was severed by force and has never been fully restored. Volume Four finds the law's own acknowledgment that this severance was wrong and that the relationship deserves recognition and protection.</w:t>
      </w: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Counter-Canon: A Dictionary of Living Law</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